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603" w:rsidRDefault="00312603">
      <w:pPr>
        <w:pStyle w:val="Heading1"/>
      </w:pPr>
      <w:bookmarkStart w:id="0" w:name="_GoBack"/>
      <w:bookmarkEnd w:id="0"/>
      <w:r>
        <w:t>OPERATIVE RISK FOR NON-CARDIAC SURGERY</w:t>
      </w:r>
    </w:p>
    <w:p w:rsidR="00312603" w:rsidRDefault="00312603">
      <w:pPr>
        <w:rPr>
          <w:rFonts w:ascii="Arial" w:hAnsi="Arial"/>
        </w:rPr>
      </w:pPr>
    </w:p>
    <w:p w:rsidR="00312603" w:rsidRDefault="00312603">
      <w:pPr>
        <w:rPr>
          <w:rFonts w:ascii="Arial" w:hAnsi="Arial"/>
        </w:rPr>
      </w:pPr>
    </w:p>
    <w:p w:rsidR="00312603" w:rsidRDefault="00312603">
      <w:pPr>
        <w:pStyle w:val="Heading2"/>
      </w:pPr>
      <w:r>
        <w:t>Data on risk during operations</w:t>
      </w:r>
    </w:p>
    <w:p w:rsidR="00312603" w:rsidRDefault="00312603">
      <w:pPr>
        <w:rPr>
          <w:b/>
        </w:rPr>
      </w:pPr>
    </w:p>
    <w:p w:rsidR="00312603" w:rsidRDefault="00312603">
      <w:pPr>
        <w:pStyle w:val="Heading3"/>
      </w:pPr>
      <w:r>
        <w:t>Review articles and editorials</w:t>
      </w:r>
    </w:p>
    <w:p w:rsidR="00312603" w:rsidRDefault="00312603">
      <w:pPr>
        <w:rPr>
          <w:b/>
        </w:rPr>
      </w:pPr>
    </w:p>
    <w:p w:rsidR="00312603" w:rsidRDefault="00312603">
      <w:pPr>
        <w:rPr>
          <w:b/>
        </w:rPr>
      </w:pPr>
    </w:p>
    <w:p w:rsidR="00312603" w:rsidRDefault="00312603">
      <w:pPr>
        <w:rPr>
          <w:b/>
        </w:rPr>
      </w:pPr>
    </w:p>
    <w:p w:rsidR="004B7E1A" w:rsidRDefault="004B7E1A">
      <w:pPr>
        <w:rPr>
          <w:b/>
        </w:rPr>
      </w:pPr>
    </w:p>
    <w:p w:rsidR="00312603" w:rsidRDefault="00312603">
      <w:pPr>
        <w:rPr>
          <w:b/>
        </w:rPr>
      </w:pPr>
      <w:r>
        <w:rPr>
          <w:b/>
        </w:rPr>
        <w:t>Contempary Review</w:t>
      </w:r>
    </w:p>
    <w:p w:rsidR="00312603" w:rsidRDefault="00312603">
      <w:pPr>
        <w:rPr>
          <w:b/>
          <w:bCs/>
        </w:rPr>
      </w:pPr>
      <w:r>
        <w:rPr>
          <w:b/>
          <w:bCs/>
        </w:rPr>
        <w:t>Peri-operative Myocardial Infarction</w:t>
      </w:r>
    </w:p>
    <w:p w:rsidR="00312603" w:rsidRDefault="00312603">
      <w:pPr>
        <w:rPr>
          <w:bCs/>
        </w:rPr>
      </w:pPr>
      <w:hyperlink r:id="rId6" w:history="1">
        <w:r>
          <w:rPr>
            <w:rStyle w:val="Hyperlink"/>
            <w:bCs/>
          </w:rPr>
          <w:t>Circula</w:t>
        </w:r>
        <w:r>
          <w:rPr>
            <w:rStyle w:val="Hyperlink"/>
            <w:bCs/>
          </w:rPr>
          <w:t>t</w:t>
        </w:r>
        <w:r>
          <w:rPr>
            <w:rStyle w:val="Hyperlink"/>
            <w:bCs/>
          </w:rPr>
          <w:t>ion 2009</w:t>
        </w:r>
      </w:hyperlink>
    </w:p>
    <w:p w:rsidR="00312603" w:rsidRDefault="00312603">
      <w:pPr>
        <w:pBdr>
          <w:bottom w:val="single" w:sz="6" w:space="1" w:color="auto"/>
        </w:pBdr>
        <w:rPr>
          <w:b/>
        </w:rPr>
      </w:pPr>
    </w:p>
    <w:p w:rsidR="00312603" w:rsidRDefault="00312603">
      <w:pPr>
        <w:rPr>
          <w:b/>
        </w:rPr>
      </w:pPr>
    </w:p>
    <w:p w:rsidR="00312603" w:rsidRDefault="00312603">
      <w:r>
        <w:t>State of the Art</w:t>
      </w:r>
    </w:p>
    <w:p w:rsidR="00312603" w:rsidRDefault="00312603">
      <w:pPr>
        <w:rPr>
          <w:b/>
          <w:bCs/>
          <w:szCs w:val="38"/>
          <w:lang w:val="en-US"/>
        </w:rPr>
      </w:pPr>
      <w:r>
        <w:rPr>
          <w:b/>
          <w:bCs/>
          <w:szCs w:val="38"/>
          <w:lang w:val="en-US"/>
        </w:rPr>
        <w:t>Pre-Operative Risk Assessment and Risk Reduction Before Surgery</w:t>
      </w:r>
    </w:p>
    <w:p w:rsidR="00312603" w:rsidRDefault="00312603">
      <w:hyperlink r:id="rId7" w:history="1">
        <w:r>
          <w:rPr>
            <w:rStyle w:val="Hyperlink"/>
          </w:rPr>
          <w:t>JACC 2</w:t>
        </w:r>
        <w:r>
          <w:rPr>
            <w:rStyle w:val="Hyperlink"/>
          </w:rPr>
          <w:t>0</w:t>
        </w:r>
        <w:r>
          <w:rPr>
            <w:rStyle w:val="Hyperlink"/>
          </w:rPr>
          <w:t>08</w:t>
        </w:r>
      </w:hyperlink>
    </w:p>
    <w:p w:rsidR="00312603" w:rsidRDefault="00312603">
      <w:pPr>
        <w:rPr>
          <w:b/>
        </w:rPr>
      </w:pPr>
    </w:p>
    <w:p w:rsidR="00312603" w:rsidRDefault="00312603">
      <w:pPr>
        <w:rPr>
          <w:b/>
        </w:rPr>
      </w:pPr>
    </w:p>
    <w:p w:rsidR="00312603" w:rsidRDefault="00312603">
      <w:pPr>
        <w:rPr>
          <w:b/>
        </w:rPr>
      </w:pPr>
      <w:r>
        <w:rPr>
          <w:b/>
        </w:rPr>
        <w:t>State of the Art</w:t>
      </w:r>
    </w:p>
    <w:p w:rsidR="00312603" w:rsidRDefault="00312603">
      <w:pPr>
        <w:rPr>
          <w:b/>
          <w:bCs/>
        </w:rPr>
      </w:pPr>
      <w:r>
        <w:rPr>
          <w:b/>
          <w:bCs/>
        </w:rPr>
        <w:t>Perioperative Management of Patients With Coronary Stents</w:t>
      </w:r>
    </w:p>
    <w:p w:rsidR="00312603" w:rsidRDefault="00312603">
      <w:pPr>
        <w:rPr>
          <w:bCs/>
        </w:rPr>
      </w:pPr>
      <w:r>
        <w:rPr>
          <w:bCs/>
        </w:rPr>
        <w:t>Reviews some of the data on revacularisation before non-cardiac surgery and the data on risk of ealry surgery after PCI.</w:t>
      </w:r>
    </w:p>
    <w:p w:rsidR="00312603" w:rsidRDefault="00312603">
      <w:pPr>
        <w:pBdr>
          <w:bottom w:val="single" w:sz="6" w:space="1" w:color="auto"/>
        </w:pBdr>
        <w:rPr>
          <w:bCs/>
        </w:rPr>
      </w:pPr>
      <w:hyperlink r:id="rId8" w:history="1">
        <w:r>
          <w:rPr>
            <w:rStyle w:val="Hyperlink"/>
            <w:bCs/>
          </w:rPr>
          <w:t>JAC</w:t>
        </w:r>
        <w:r>
          <w:rPr>
            <w:rStyle w:val="Hyperlink"/>
            <w:bCs/>
          </w:rPr>
          <w:t>C</w:t>
        </w:r>
        <w:r>
          <w:rPr>
            <w:rStyle w:val="Hyperlink"/>
            <w:bCs/>
          </w:rPr>
          <w:t xml:space="preserve"> 2007</w:t>
        </w:r>
      </w:hyperlink>
    </w:p>
    <w:p w:rsidR="00312603" w:rsidRDefault="00312603">
      <w:pPr>
        <w:pBdr>
          <w:bottom w:val="single" w:sz="6" w:space="1" w:color="auto"/>
        </w:pBdr>
        <w:rPr>
          <w:b/>
        </w:rPr>
      </w:pPr>
    </w:p>
    <w:p w:rsidR="00312603" w:rsidRDefault="00312603">
      <w:pPr>
        <w:rPr>
          <w:b/>
        </w:rPr>
      </w:pPr>
    </w:p>
    <w:p w:rsidR="00312603" w:rsidRDefault="00312603">
      <w:pPr>
        <w:rPr>
          <w:b/>
        </w:rPr>
      </w:pPr>
    </w:p>
    <w:p w:rsidR="00312603" w:rsidRDefault="00312603">
      <w:r>
        <w:t>Guidelines on Perioperative Evaluation and Treatment</w:t>
      </w:r>
    </w:p>
    <w:p w:rsidR="00312603" w:rsidRDefault="00312603">
      <w:pPr>
        <w:rPr>
          <w:b/>
          <w:bCs/>
        </w:rPr>
      </w:pPr>
      <w:r>
        <w:rPr>
          <w:b/>
          <w:bCs/>
        </w:rPr>
        <w:t>Perioperative Cardiovascular Evaluation for Noncardiac Surgery</w:t>
      </w:r>
    </w:p>
    <w:p w:rsidR="00312603" w:rsidRDefault="00312603">
      <w:pPr>
        <w:rPr>
          <w:szCs w:val="42"/>
          <w:lang w:val="en-US"/>
        </w:rPr>
      </w:pPr>
    </w:p>
    <w:p w:rsidR="00312603" w:rsidRDefault="00312603">
      <w:pPr>
        <w:rPr>
          <w:szCs w:val="42"/>
          <w:lang w:val="en-US"/>
        </w:rPr>
      </w:pPr>
      <w:r>
        <w:rPr>
          <w:szCs w:val="42"/>
          <w:lang w:val="en-US"/>
        </w:rPr>
        <w:t xml:space="preserve">2009- </w:t>
      </w:r>
      <w:hyperlink r:id="rId9" w:history="1">
        <w:r>
          <w:rPr>
            <w:rStyle w:val="Hyperlink"/>
            <w:szCs w:val="42"/>
            <w:lang w:val="en-US"/>
          </w:rPr>
          <w:t>focused update on perioperative beta-blocke</w:t>
        </w:r>
        <w:r>
          <w:rPr>
            <w:rStyle w:val="Hyperlink"/>
            <w:szCs w:val="42"/>
            <w:lang w:val="en-US"/>
          </w:rPr>
          <w:t>r</w:t>
        </w:r>
        <w:r>
          <w:rPr>
            <w:rStyle w:val="Hyperlink"/>
            <w:szCs w:val="42"/>
            <w:lang w:val="en-US"/>
          </w:rPr>
          <w:t xml:space="preserve"> use</w:t>
        </w:r>
      </w:hyperlink>
    </w:p>
    <w:p w:rsidR="00312603" w:rsidRDefault="00312603">
      <w:pPr>
        <w:rPr>
          <w:szCs w:val="42"/>
          <w:lang w:val="en-US"/>
        </w:rPr>
      </w:pPr>
      <w:r>
        <w:rPr>
          <w:szCs w:val="42"/>
          <w:lang w:val="en-US"/>
        </w:rPr>
        <w:t xml:space="preserve">2007- </w:t>
      </w:r>
      <w:hyperlink r:id="rId10" w:history="1">
        <w:r>
          <w:rPr>
            <w:rStyle w:val="Hyperlink"/>
            <w:szCs w:val="42"/>
            <w:lang w:val="en-US"/>
          </w:rPr>
          <w:t>upda</w:t>
        </w:r>
        <w:r>
          <w:rPr>
            <w:rStyle w:val="Hyperlink"/>
            <w:szCs w:val="42"/>
            <w:lang w:val="en-US"/>
          </w:rPr>
          <w:t>t</w:t>
        </w:r>
        <w:r>
          <w:rPr>
            <w:rStyle w:val="Hyperlink"/>
            <w:szCs w:val="42"/>
            <w:lang w:val="en-US"/>
          </w:rPr>
          <w:t>e of guidelines</w:t>
        </w:r>
      </w:hyperlink>
    </w:p>
    <w:p w:rsidR="00312603" w:rsidRDefault="00312603">
      <w:pPr>
        <w:rPr>
          <w:szCs w:val="42"/>
          <w:lang w:val="en-US"/>
        </w:rPr>
      </w:pPr>
      <w:r>
        <w:rPr>
          <w:szCs w:val="42"/>
          <w:lang w:val="en-US"/>
        </w:rPr>
        <w:t xml:space="preserve">2002- </w:t>
      </w:r>
      <w:hyperlink r:id="rId11" w:history="1">
        <w:r>
          <w:rPr>
            <w:rStyle w:val="Hyperlink"/>
            <w:szCs w:val="42"/>
            <w:lang w:val="en-US"/>
          </w:rPr>
          <w:t>Ful</w:t>
        </w:r>
        <w:r>
          <w:rPr>
            <w:rStyle w:val="Hyperlink"/>
            <w:szCs w:val="42"/>
            <w:lang w:val="en-US"/>
          </w:rPr>
          <w:t>l</w:t>
        </w:r>
        <w:r>
          <w:rPr>
            <w:rStyle w:val="Hyperlink"/>
            <w:szCs w:val="42"/>
            <w:lang w:val="en-US"/>
          </w:rPr>
          <w:t xml:space="preserve"> text</w:t>
        </w:r>
      </w:hyperlink>
      <w:r>
        <w:rPr>
          <w:szCs w:val="42"/>
          <w:lang w:val="en-US"/>
        </w:rPr>
        <w:t xml:space="preserve">; </w:t>
      </w:r>
      <w:hyperlink r:id="rId12" w:history="1">
        <w:r>
          <w:rPr>
            <w:rStyle w:val="Hyperlink"/>
            <w:szCs w:val="42"/>
            <w:lang w:val="en-US"/>
          </w:rPr>
          <w:t>Sum</w:t>
        </w:r>
        <w:r>
          <w:rPr>
            <w:rStyle w:val="Hyperlink"/>
            <w:szCs w:val="42"/>
            <w:lang w:val="en-US"/>
          </w:rPr>
          <w:t>m</w:t>
        </w:r>
        <w:r>
          <w:rPr>
            <w:rStyle w:val="Hyperlink"/>
            <w:szCs w:val="42"/>
            <w:lang w:val="en-US"/>
          </w:rPr>
          <w:t>ary</w:t>
        </w:r>
      </w:hyperlink>
    </w:p>
    <w:p w:rsidR="00312603" w:rsidRDefault="00312603">
      <w:pPr>
        <w:pBdr>
          <w:bottom w:val="single" w:sz="6" w:space="1" w:color="auto"/>
        </w:pBdr>
        <w:rPr>
          <w:szCs w:val="42"/>
          <w:lang w:val="en-US"/>
        </w:rPr>
      </w:pPr>
    </w:p>
    <w:p w:rsidR="00312603" w:rsidRDefault="00312603"/>
    <w:p w:rsidR="00312603" w:rsidRDefault="00312603">
      <w:r>
        <w:rPr>
          <w:b/>
          <w:bCs/>
          <w:szCs w:val="38"/>
          <w:lang w:val="en-US"/>
        </w:rPr>
        <w:t>Contemporary Reviews in Cardiovascular Medicine</w:t>
      </w:r>
    </w:p>
    <w:p w:rsidR="00312603" w:rsidRDefault="00312603">
      <w:pPr>
        <w:autoSpaceDE w:val="0"/>
        <w:autoSpaceDN w:val="0"/>
        <w:adjustRightInd w:val="0"/>
        <w:rPr>
          <w:rFonts w:ascii="Times-Bold" w:hAnsi="Times-Bold"/>
          <w:sz w:val="37"/>
        </w:rPr>
      </w:pPr>
      <w:r>
        <w:t>Assessing and Reducing the Cardiac Risk of Noncardiac Surgery</w:t>
      </w:r>
    </w:p>
    <w:p w:rsidR="00312603" w:rsidRDefault="00312603">
      <w:hyperlink r:id="rId13" w:history="1">
        <w:r>
          <w:rPr>
            <w:rStyle w:val="Hyperlink"/>
          </w:rPr>
          <w:t>Circu</w:t>
        </w:r>
        <w:r>
          <w:rPr>
            <w:rStyle w:val="Hyperlink"/>
          </w:rPr>
          <w:t>l</w:t>
        </w:r>
        <w:r>
          <w:rPr>
            <w:rStyle w:val="Hyperlink"/>
          </w:rPr>
          <w:t>ation 2006</w:t>
        </w:r>
      </w:hyperlink>
    </w:p>
    <w:p w:rsidR="00312603" w:rsidRDefault="00312603">
      <w:r>
        <w:t>Good review of all aspects- still worthy of being read again.</w:t>
      </w:r>
    </w:p>
    <w:p w:rsidR="00312603" w:rsidRDefault="00312603">
      <w:pPr>
        <w:pBdr>
          <w:bottom w:val="single" w:sz="6" w:space="1" w:color="auto"/>
        </w:pBdr>
      </w:pPr>
    </w:p>
    <w:p w:rsidR="00312603" w:rsidRDefault="00312603"/>
    <w:p w:rsidR="00312603" w:rsidRDefault="00312603"/>
    <w:p w:rsidR="00312603" w:rsidRDefault="00312603">
      <w:pPr>
        <w:rPr>
          <w:b/>
          <w:bCs/>
        </w:rPr>
      </w:pPr>
      <w:r>
        <w:rPr>
          <w:b/>
          <w:bCs/>
        </w:rPr>
        <w:t>**Editorial: Assessment of perioperative cardiac risk, NEJM 1994;330:707-9</w:t>
      </w:r>
    </w:p>
    <w:p w:rsidR="00312603" w:rsidRDefault="00312603"/>
    <w:p w:rsidR="00312603" w:rsidRDefault="00312603">
      <w:r>
        <w:t>1) well patient with no cardiac history at low risk and further investigation not indicated.</w:t>
      </w:r>
    </w:p>
    <w:p w:rsidR="00312603" w:rsidRDefault="00312603"/>
    <w:p w:rsidR="00312603" w:rsidRDefault="00312603">
      <w:r>
        <w:t>2) those at slightly higher risk eg stable angina with reasonable exercise tolerance probable do not need further invasive testing since the risk of cardiac catheterisation and of CABG exceeds or equals the risk of operation with out this.</w:t>
      </w:r>
    </w:p>
    <w:p w:rsidR="00312603" w:rsidRDefault="00312603"/>
    <w:p w:rsidR="00312603" w:rsidRDefault="00312603">
      <w:r>
        <w:t>3) ?preoperative testing indicated in those thought to be at moderate risk. Especially if these patients longer term mortality would be influenced by cardiac disease ie whether they would benefit from CABG regardless of planned aortic surgery.</w:t>
      </w:r>
    </w:p>
    <w:p w:rsidR="00312603" w:rsidRDefault="00312603"/>
    <w:p w:rsidR="00312603" w:rsidRDefault="00312603">
      <w:r>
        <w:t>____________________________________________</w:t>
      </w:r>
    </w:p>
    <w:p w:rsidR="00312603" w:rsidRDefault="00312603"/>
    <w:p w:rsidR="00312603" w:rsidRDefault="00312603"/>
    <w:p w:rsidR="00312603" w:rsidRDefault="00312603">
      <w:pPr>
        <w:pStyle w:val="BodyText2"/>
      </w:pPr>
      <w:r>
        <w:t>**Assessment of perioperative risk: have we put the cart before the horse? ed, JACC 1993;21:1353-1356</w:t>
      </w:r>
    </w:p>
    <w:p w:rsidR="00312603" w:rsidRDefault="00312603"/>
    <w:p w:rsidR="00312603" w:rsidRDefault="00312603">
      <w:r>
        <w:t>Pathophysiology of perioperative cardiac morbidity. The major cardiac complications of noncardiac surgery--death, nonfatal myocardial infarction, unstable angina pectoris and congestive heart failure -are in most cases directly or indirectly related to underlying coronary artery disease. Despite the stress of the surgery itself and the accompanying potential for hemodynamic changes, hyperadrenergic responses and volume shifts, it is now clear that the incidence and severity of intraoperative ischemia are no greater than those of preoperative ischemia. Awareness of these risks and advances in patient monitoring and anesthesia delivery have made the intraoperative period relatively safe. In contrast, myocardial ischemia is more common and more severe in the early postoperative phase . Perioperative infarction is frequently silent and may be difficult to detect clinically . Although non-Q wave infarction also often occurs in the 1st 2 postoperative days, in a pattern similar to that of ischemic episodes, the peak incidence of Q wave infarction may occur somewhat later, on postoperative days 2 to 4. procedures.</w:t>
      </w:r>
    </w:p>
    <w:p w:rsidR="00312603" w:rsidRDefault="00312603"/>
    <w:p w:rsidR="00312603" w:rsidRDefault="00312603">
      <w:r>
        <w:t xml:space="preserve">When the patient group under evaluation is known to have a high prevalence of underlying apparent or silent coronary disease, such as patients undergoing abdominal aorta or peripheral vascular surgery, a very low risk group cannot be identified by clinical markers alone . Even individuals with low risk scores may have a 5% to 10% incidence of cardiac complications. </w:t>
      </w:r>
    </w:p>
    <w:p w:rsidR="00312603" w:rsidRDefault="00312603"/>
    <w:p w:rsidR="00312603" w:rsidRDefault="00312603">
      <w:r>
        <w:t xml:space="preserve">The most controversial issue concerns prophylactic coronary revascularization In practice, a positive noninvasive test for ischemia often leads to coronary arteriography and revascularization, but this approach is not supported by data from clinical trials. Advocates have noted the low mortality and morbidity rates of patients who have undergone coronary revascularization alld then subsequently have vascular surgery, but this analysis ignores the complication rate of the initial coronary procedure and the likely patient selection bias. It is essential that the strategy of prophylactic coronary revascularization be tested in a prospective randomized trial, but until this is done, preoperative coronary revascularization should be reserved primarily for patients with the usual clinical indications for this procedure-those with unstable angina or symptom limitation on medical therapy. Patients deemed to be at high risk by clinical criteria may also be candidates for revascularization if extensive ischemia is demonstrated and the coronary anatomical findings suggest that revascularization may prolong survival overall, however, in view of the unconfirmed benefit of prophylactic revascularization  identification of candidates does not appear to be adequate justification for risk stratification in patients with no other indication for coronary revascularization. </w:t>
      </w:r>
    </w:p>
    <w:p w:rsidR="00312603" w:rsidRDefault="00312603">
      <w:r>
        <w:t>_____________________________________________</w:t>
      </w:r>
    </w:p>
    <w:p w:rsidR="00312603" w:rsidRDefault="00312603"/>
    <w:p w:rsidR="00312603" w:rsidRDefault="00312603">
      <w:pPr>
        <w:rPr>
          <w:b/>
          <w:bCs/>
        </w:rPr>
      </w:pPr>
      <w:r>
        <w:rPr>
          <w:b/>
          <w:bCs/>
        </w:rPr>
        <w:t>**Risk stratification for noncardiac surgery, how (and why)? ed, Circulation 1993;87:1752-5</w:t>
      </w:r>
    </w:p>
    <w:p w:rsidR="00312603" w:rsidRDefault="00312603"/>
    <w:p w:rsidR="00312603" w:rsidRDefault="00312603">
      <w:r>
        <w:t>Death, nonfatal myocardial infarction, unstable angina pectoris, and congestive heart failure or pulmonary edema are the most</w:t>
      </w:r>
    </w:p>
    <w:p w:rsidR="00312603" w:rsidRDefault="00312603">
      <w:r>
        <w:t>important cardiac complications of noncardiac surgery. Mortality rates from cardiac causes range from negligible to 5% or higher</w:t>
      </w:r>
    </w:p>
    <w:p w:rsidR="00312603" w:rsidRDefault="00312603">
      <w:r>
        <w:t>for major vascular procedures. Although the incidence of perioperative myocardial infarction is &lt;1% in the general population,</w:t>
      </w:r>
    </w:p>
    <w:p w:rsidR="00312603" w:rsidRDefault="00312603">
      <w:r>
        <w:t>it rises to 2-8% in patients with previous myocardial infarction and ranges from 1% to 15% in patients undergoing vascular surgery.</w:t>
      </w:r>
    </w:p>
    <w:p w:rsidR="00312603" w:rsidRDefault="00312603">
      <w:r>
        <w:t>_____________________________________________</w:t>
      </w:r>
    </w:p>
    <w:p w:rsidR="00312603" w:rsidRDefault="00312603"/>
    <w:p w:rsidR="00312603" w:rsidRDefault="00312603">
      <w:pPr>
        <w:rPr>
          <w:b/>
          <w:bCs/>
        </w:rPr>
      </w:pPr>
      <w:r>
        <w:rPr>
          <w:b/>
          <w:bCs/>
        </w:rPr>
        <w:t>Surgery:cardiac risk, ACC ‘96</w:t>
      </w:r>
    </w:p>
    <w:p w:rsidR="00312603" w:rsidRDefault="00312603">
      <w:pPr>
        <w:rPr>
          <w:rFonts w:ascii="NLQII 10cpi" w:hAnsi="NLQII 10cpi"/>
        </w:rPr>
      </w:pPr>
    </w:p>
    <w:p w:rsidR="00312603" w:rsidRDefault="00312603">
      <w:r>
        <w:t>see above guidelines</w:t>
      </w:r>
    </w:p>
    <w:p w:rsidR="00312603" w:rsidRDefault="00312603"/>
    <w:p w:rsidR="00312603" w:rsidRDefault="00312603">
      <w:r>
        <w:t>Noninvasive testing: Anaesthesiology 1993: re general vs epidural anasthesia for PVD: no difference in outcome, but some differences in coagulability in the two groups.</w:t>
      </w:r>
    </w:p>
    <w:p w:rsidR="00312603" w:rsidRDefault="00312603"/>
    <w:p w:rsidR="00312603" w:rsidRDefault="00312603">
      <w:r>
        <w:t xml:space="preserve">Anaesthetic agent: does not influence rate of myocardial infarction in patients. </w:t>
      </w:r>
    </w:p>
    <w:p w:rsidR="00312603" w:rsidRDefault="00312603"/>
    <w:p w:rsidR="00312603" w:rsidRDefault="00312603">
      <w:r>
        <w:t>High dose narcotic technique means patients endup needing ventillation postop and risk of myocardial infarction during period of weaning off ventillator.</w:t>
      </w:r>
    </w:p>
    <w:p w:rsidR="00312603" w:rsidRDefault="00312603"/>
    <w:p w:rsidR="00312603" w:rsidRDefault="00312603">
      <w:r>
        <w:t>Local anaesthesia: poor anaesthesia- can cause pain and stress with sympathetic response- ?better to give regional anaesthesia.</w:t>
      </w:r>
    </w:p>
    <w:p w:rsidR="00312603" w:rsidRDefault="00312603"/>
    <w:p w:rsidR="00312603" w:rsidRDefault="00312603">
      <w:r>
        <w:t>NEJM 1990: Mangano- those with St depression postop more likely to have an myocardial infarction postoperatively.</w:t>
      </w:r>
    </w:p>
    <w:p w:rsidR="00312603" w:rsidRDefault="00312603"/>
    <w:p w:rsidR="00312603" w:rsidRDefault="00312603">
      <w:r>
        <w:t>lacnet 1990, Landesberg- ST dep&gt;&gt;2hrs postop better predictor of myocardial infarction  occurence.</w:t>
      </w:r>
    </w:p>
    <w:p w:rsidR="00312603" w:rsidRDefault="00312603"/>
    <w:p w:rsidR="00312603" w:rsidRDefault="00312603">
      <w:r>
        <w:t xml:space="preserve">Fleisher 1995, J Clini Anaesth, again showed events mor elikely in those with more prolonged ST depression. </w:t>
      </w:r>
    </w:p>
    <w:p w:rsidR="00312603" w:rsidRDefault="00312603"/>
    <w:p w:rsidR="00312603" w:rsidRDefault="00312603">
      <w:r>
        <w:t>WhAT we do not know is whether any specific intervention will prevent peroperative morbidity.</w:t>
      </w:r>
    </w:p>
    <w:p w:rsidR="00312603" w:rsidRDefault="00312603"/>
    <w:p w:rsidR="00312603" w:rsidRDefault="00312603">
      <w:r>
        <w:t>NOTE In low risk groups ST depression may not be ischaemia, 30% of women undergoing caesarian section have ST depression.</w:t>
      </w:r>
    </w:p>
    <w:p w:rsidR="00312603" w:rsidRDefault="00312603"/>
    <w:p w:rsidR="00312603" w:rsidRDefault="00312603">
      <w:r>
        <w:t>In a study use of a swan gang did not reduce morbidity compared to use of a CVP line.</w:t>
      </w:r>
    </w:p>
    <w:p w:rsidR="00312603" w:rsidRDefault="00312603"/>
    <w:p w:rsidR="00312603" w:rsidRDefault="00312603">
      <w:r>
        <w:t>Esisenberg: JAMA 1992, TEE- ischaemia detected by TEE did not really help detect perioperative events.</w:t>
      </w:r>
    </w:p>
    <w:p w:rsidR="00312603" w:rsidRDefault="00312603"/>
    <w:p w:rsidR="00312603" w:rsidRDefault="00312603">
      <w:r>
        <w:t>CABG preoperative is best reserved for those who would get long term benefit. No data on benefits of PTCA.</w:t>
      </w:r>
    </w:p>
    <w:p w:rsidR="00312603" w:rsidRDefault="00312603"/>
    <w:p w:rsidR="00312603" w:rsidRDefault="00312603">
      <w:r>
        <w:t>Re valve disease:  Aortic stenosis- need good LV filling, mitral stenosis need good heart rate control.</w:t>
      </w:r>
    </w:p>
    <w:p w:rsidR="00312603" w:rsidRDefault="00312603"/>
    <w:p w:rsidR="00312603" w:rsidRDefault="00312603">
      <w:r>
        <w:t>AR and MR: usually tolerate surgery well, those with AR do better with faster heart rates.</w:t>
      </w:r>
    </w:p>
    <w:p w:rsidR="00312603" w:rsidRDefault="00312603"/>
    <w:p w:rsidR="00312603" w:rsidRDefault="00312603"/>
    <w:p w:rsidR="00312603" w:rsidRDefault="00312603">
      <w:pPr>
        <w:rPr>
          <w:rFonts w:ascii="NLQII 10cpi" w:hAnsi="NLQII 10cpi"/>
        </w:rPr>
      </w:pPr>
      <w:r>
        <w:rPr>
          <w:rFonts w:ascii="NLQII 10cpi" w:hAnsi="NLQII 10cpi"/>
        </w:rPr>
        <w:t>____________________________________________________________</w:t>
      </w:r>
    </w:p>
    <w:p w:rsidR="00312603" w:rsidRDefault="00312603">
      <w:pPr>
        <w:rPr>
          <w:b/>
        </w:rPr>
      </w:pPr>
    </w:p>
    <w:p w:rsidR="00312603" w:rsidRDefault="00312603">
      <w:pPr>
        <w:rPr>
          <w:b/>
        </w:rPr>
      </w:pPr>
    </w:p>
    <w:p w:rsidR="00312603" w:rsidRDefault="00312603">
      <w:pPr>
        <w:pStyle w:val="Heading3"/>
      </w:pPr>
      <w:r>
        <w:t>Original articles</w:t>
      </w:r>
    </w:p>
    <w:p w:rsidR="00312603" w:rsidRDefault="00312603">
      <w:pPr>
        <w:rPr>
          <w:b/>
        </w:rPr>
      </w:pPr>
    </w:p>
    <w:p w:rsidR="00312603" w:rsidRDefault="00312603">
      <w:pPr>
        <w:rPr>
          <w:b/>
        </w:rPr>
      </w:pPr>
    </w:p>
    <w:p w:rsidR="00312603" w:rsidRDefault="00312603">
      <w:pPr>
        <w:pBdr>
          <w:bottom w:val="single" w:sz="6" w:space="1" w:color="auto"/>
        </w:pBdr>
        <w:rPr>
          <w:b/>
        </w:rPr>
      </w:pPr>
    </w:p>
    <w:p w:rsidR="00312603" w:rsidRDefault="00312603">
      <w:pPr>
        <w:rPr>
          <w:b/>
        </w:rPr>
      </w:pPr>
    </w:p>
    <w:p w:rsidR="00312603" w:rsidRDefault="00312603">
      <w:r>
        <w:t>Rao TL et al. Reinfarction following anesthesia in patients with myocardial infarction. Anesthesiology 1983;59:499-505</w:t>
      </w:r>
    </w:p>
    <w:p w:rsidR="00312603" w:rsidRDefault="00312603"/>
    <w:p w:rsidR="00312603" w:rsidRDefault="00312603">
      <w:r>
        <w:t>Shah KB et al. Reevaluation of perioperative myocardial infarction in patients with prior myocardial infarction undergoing noncardiac operations. Anesth Analg 1990;71:231-5</w:t>
      </w:r>
    </w:p>
    <w:p w:rsidR="00312603" w:rsidRDefault="00312603"/>
    <w:p w:rsidR="00312603" w:rsidRDefault="00312603">
      <w:r>
        <w:t>references on risk of myocardial infarction perioperatively. Rao eta l reported a 6 percent risk of perioperative reinfarction in the first three months after infarction, a 2% resk after four to six months, and only a 1.5% risk more then six months after the initial infarction.</w:t>
      </w:r>
    </w:p>
    <w:p w:rsidR="00312603" w:rsidRDefault="00312603"/>
    <w:p w:rsidR="00312603" w:rsidRDefault="00312603">
      <w:r>
        <w:t>Shah et al reported similar rates of reinfarction in patients who underwent noncardiac surgery (4%, 0%, and 6% respectively). Apparently the risk for those over 65 years was higher (5.5% vs 3.2%) and in those undergoing emergency surgery (11.6% vs 3.45%).</w:t>
      </w:r>
    </w:p>
    <w:p w:rsidR="00312603" w:rsidRDefault="00312603"/>
    <w:p w:rsidR="00312603" w:rsidRDefault="00312603">
      <w:r>
        <w:t>Is the lower rate due to better operative management and better monitoring.</w:t>
      </w:r>
    </w:p>
    <w:p w:rsidR="00312603" w:rsidRDefault="00312603"/>
    <w:p w:rsidR="00312603" w:rsidRDefault="00312603">
      <w:pPr>
        <w:pBdr>
          <w:bottom w:val="single" w:sz="6" w:space="1" w:color="auto"/>
        </w:pBdr>
      </w:pPr>
    </w:p>
    <w:p w:rsidR="00312603" w:rsidRDefault="00312603"/>
    <w:p w:rsidR="00312603" w:rsidRDefault="00312603">
      <w:r>
        <w:t xml:space="preserve">Circulation 95 (11): 2473-2475 (Jun 3 1997) </w:t>
      </w:r>
    </w:p>
    <w:p w:rsidR="00312603" w:rsidRDefault="00312603"/>
    <w:p w:rsidR="00312603" w:rsidRDefault="00312603">
      <w:r>
        <w:t>Cardiac risk stratification for high-risk vascular surgery</w:t>
      </w:r>
    </w:p>
    <w:p w:rsidR="00312603" w:rsidRDefault="00312603"/>
    <w:p w:rsidR="00312603" w:rsidRDefault="00312603">
      <w:r>
        <w:t>Bartels C, Bechtel JF, Hossmann V, Horsch S</w:t>
      </w:r>
    </w:p>
    <w:p w:rsidR="00312603" w:rsidRDefault="00312603"/>
    <w:p w:rsidR="00312603" w:rsidRDefault="00312603">
      <w:r>
        <w:t>Department of Vascular Surgery, Krankenhaus Porz am Rhein, Teaching Hospital, University of</w:t>
      </w:r>
    </w:p>
    <w:p w:rsidR="00312603" w:rsidRDefault="00312603">
      <w:r>
        <w:t xml:space="preserve">Cologne, Germany. </w:t>
      </w:r>
    </w:p>
    <w:p w:rsidR="00312603" w:rsidRDefault="00312603"/>
    <w:p w:rsidR="00312603" w:rsidRDefault="00312603">
      <w:r>
        <w:t>BACKGROUND: The best strategy for cardiac risk assessment before high-risk vascular surgery</w:t>
      </w:r>
    </w:p>
    <w:p w:rsidR="00312603" w:rsidRDefault="00312603">
      <w:r>
        <w:t>remains controversial. A cardiac risk stratification protocol was evaluated in patients undergoing</w:t>
      </w:r>
    </w:p>
    <w:p w:rsidR="00312603" w:rsidRDefault="00312603">
      <w:r>
        <w:t>high-risk vascular surgery. Our investigation paralleled the elaboration of the American College of</w:t>
      </w:r>
    </w:p>
    <w:p w:rsidR="00312603" w:rsidRDefault="00312603">
      <w:r>
        <w:t>Cardiology/ American Heart Association (ACC/AHA) Guidelines for Perioperative Cardiovascular</w:t>
      </w:r>
    </w:p>
    <w:p w:rsidR="00312603" w:rsidRDefault="00312603">
      <w:r>
        <w:t>Evaluation for Noncardiac Surgery and is highly comparable to the proposed guidelines.</w:t>
      </w:r>
    </w:p>
    <w:p w:rsidR="00312603" w:rsidRDefault="00312603">
      <w:r>
        <w:t>METHODS AND RESULTS: A cardiac risk stratification protocol was evaluated prospectively in</w:t>
      </w:r>
    </w:p>
    <w:p w:rsidR="00312603" w:rsidRDefault="00312603">
      <w:r>
        <w:t>203 patients scheduled for aortic surgery. Key points of the study were cardiac mortality/morbidity</w:t>
      </w:r>
    </w:p>
    <w:p w:rsidR="00312603" w:rsidRDefault="00312603">
      <w:r>
        <w:t>and cost-effectiveness. Patients were stratified into low (n = 101), intermediate (n = 79), and high (n</w:t>
      </w:r>
    </w:p>
    <w:p w:rsidR="00312603" w:rsidRDefault="00312603">
      <w:r>
        <w:t>= 23) cardiac risk after clinical predictors. After stratification, the degree of estimated functional</w:t>
      </w:r>
    </w:p>
    <w:p w:rsidR="00312603" w:rsidRDefault="00312603">
      <w:r>
        <w:t>capacity assessed by treadmill exercise and daily living activities and expressed by metabolic</w:t>
      </w:r>
    </w:p>
    <w:p w:rsidR="00312603" w:rsidRDefault="00312603">
      <w:r>
        <w:t>equivalents (METs) was critical for further cardiac evaluation. In intermediate-risk patients with an</w:t>
      </w:r>
    </w:p>
    <w:p w:rsidR="00312603" w:rsidRDefault="00312603">
      <w:r>
        <w:t>estimated functional capacity &lt; 5 METs and in all high-risk patients, noninvasive cardiac testing</w:t>
      </w:r>
    </w:p>
    <w:p w:rsidR="00312603" w:rsidRDefault="00312603">
      <w:r>
        <w:t>and/or subsequent medical care were performed. Noninvasive testing was considered necessary in</w:t>
      </w:r>
    </w:p>
    <w:p w:rsidR="00312603" w:rsidRDefault="00312603">
      <w:r>
        <w:t>41 patients, coronary angiography in 7, and myocardial revascularization in 1. Overall hospital</w:t>
      </w:r>
    </w:p>
    <w:p w:rsidR="00312603" w:rsidRDefault="00312603">
      <w:r>
        <w:t>mortality was 3.5%. Cardiac mortality and morbidity were 1% and 12.4%, respectively.</w:t>
      </w:r>
    </w:p>
    <w:p w:rsidR="00312603" w:rsidRDefault="00312603">
      <w:r>
        <w:t>CONCLUSIONS: Cardiac risk stratification for high-risk vascular surgery patients, according to a</w:t>
      </w:r>
    </w:p>
    <w:p w:rsidR="00312603" w:rsidRDefault="00312603">
      <w:r>
        <w:t>protocol similar to the ACC/AHA Guidelines for Cardiovascular Evaluation for Noncardiac</w:t>
      </w:r>
    </w:p>
    <w:p w:rsidR="00312603" w:rsidRDefault="00312603">
      <w:r>
        <w:t>Surgery, demonstrated excellent clinical outcome. This approach appears to be a safe and</w:t>
      </w:r>
    </w:p>
    <w:p w:rsidR="00312603" w:rsidRDefault="00312603">
      <w:r>
        <w:t xml:space="preserve">economical strategy for preoperative cardiac evaluation. </w:t>
      </w:r>
    </w:p>
    <w:p w:rsidR="00312603" w:rsidRDefault="00312603"/>
    <w:p w:rsidR="00312603" w:rsidRDefault="00312603">
      <w:r>
        <w:t>PMID: 9184575, MUID: 97328017</w:t>
      </w:r>
    </w:p>
    <w:p w:rsidR="00312603" w:rsidRDefault="00312603"/>
    <w:p w:rsidR="00312603" w:rsidRDefault="00312603">
      <w:r>
        <w:t>Report is quite brief- to remember is that noninvasive testing included not only treadmill testing but also scintigraphic testing.</w:t>
      </w:r>
    </w:p>
    <w:p w:rsidR="00312603" w:rsidRDefault="00312603"/>
    <w:p w:rsidR="00312603" w:rsidRDefault="00312603">
      <w:pPr>
        <w:pBdr>
          <w:bottom w:val="single" w:sz="6" w:space="1" w:color="auto"/>
        </w:pBdr>
      </w:pPr>
    </w:p>
    <w:p w:rsidR="00312603" w:rsidRDefault="00312603">
      <w:pPr>
        <w:rPr>
          <w:b/>
        </w:rPr>
      </w:pPr>
    </w:p>
    <w:p w:rsidR="00312603" w:rsidRDefault="00312603"/>
    <w:p w:rsidR="00312603" w:rsidRDefault="00312603">
      <w:pPr>
        <w:autoSpaceDE w:val="0"/>
        <w:autoSpaceDN w:val="0"/>
        <w:adjustRightInd w:val="0"/>
        <w:rPr>
          <w:szCs w:val="37"/>
          <w:lang w:val="en-US"/>
        </w:rPr>
      </w:pPr>
      <w:r>
        <w:rPr>
          <w:szCs w:val="37"/>
          <w:lang w:val="en-US"/>
        </w:rPr>
        <w:t>Derivation and Prospective Validation of a Simple Index for</w:t>
      </w:r>
    </w:p>
    <w:p w:rsidR="00312603" w:rsidRDefault="00312603">
      <w:pPr>
        <w:rPr>
          <w:szCs w:val="37"/>
          <w:lang w:val="en-US"/>
        </w:rPr>
      </w:pPr>
      <w:r>
        <w:rPr>
          <w:szCs w:val="37"/>
          <w:lang w:val="en-US"/>
        </w:rPr>
        <w:t>Prediction of Cardiac Risk of Major Noncardiac Surgery</w:t>
      </w:r>
    </w:p>
    <w:p w:rsidR="00312603" w:rsidRDefault="00312603">
      <w:pPr>
        <w:rPr>
          <w:szCs w:val="37"/>
          <w:lang w:val="en-US"/>
        </w:rPr>
      </w:pPr>
      <w:r>
        <w:rPr>
          <w:szCs w:val="37"/>
          <w:lang w:val="en-US"/>
        </w:rPr>
        <w:t>Circulation 1999</w:t>
      </w:r>
    </w:p>
    <w:p w:rsidR="00312603" w:rsidRDefault="00312603"/>
    <w:p w:rsidR="00312603" w:rsidRDefault="00312603">
      <w:pPr>
        <w:rPr>
          <w:b/>
        </w:rPr>
      </w:pPr>
      <w:hyperlink r:id="rId14" w:history="1">
        <w:r>
          <w:rPr>
            <w:rStyle w:val="Hyperlink"/>
            <w:b/>
          </w:rPr>
          <w:t xml:space="preserve">Risk </w:t>
        </w:r>
        <w:r>
          <w:rPr>
            <w:rStyle w:val="Hyperlink"/>
            <w:b/>
          </w:rPr>
          <w:t>m</w:t>
        </w:r>
        <w:r>
          <w:rPr>
            <w:rStyle w:val="Hyperlink"/>
            <w:b/>
          </w:rPr>
          <w:t>odeling 1999</w:t>
        </w:r>
      </w:hyperlink>
    </w:p>
    <w:p w:rsidR="00312603" w:rsidRDefault="00312603">
      <w:pPr>
        <w:rPr>
          <w:b/>
        </w:rPr>
      </w:pPr>
    </w:p>
    <w:p w:rsidR="00312603" w:rsidRDefault="00312603">
      <w:pPr>
        <w:rPr>
          <w:b/>
        </w:rPr>
      </w:pPr>
    </w:p>
    <w:p w:rsidR="00312603" w:rsidRDefault="00312603">
      <w:pPr>
        <w:rPr>
          <w:b/>
        </w:rPr>
      </w:pPr>
    </w:p>
    <w:p w:rsidR="00312603" w:rsidRDefault="00312603">
      <w:pPr>
        <w:pStyle w:val="Heading2"/>
      </w:pPr>
      <w:r>
        <w:t>Predictive value of exercise ECG in assigning risk</w:t>
      </w:r>
    </w:p>
    <w:p w:rsidR="00312603" w:rsidRDefault="00312603">
      <w:pPr>
        <w:rPr>
          <w:b/>
        </w:rPr>
      </w:pPr>
    </w:p>
    <w:p w:rsidR="00312603" w:rsidRDefault="00312603">
      <w:pPr>
        <w:rPr>
          <w:b/>
        </w:rPr>
      </w:pPr>
    </w:p>
    <w:p w:rsidR="00312603" w:rsidRDefault="00312603">
      <w:pPr>
        <w:pStyle w:val="Heading2"/>
      </w:pPr>
      <w:r>
        <w:t>Predictive value of Thallium/SPECT scanning in assigning risk</w:t>
      </w:r>
    </w:p>
    <w:p w:rsidR="00312603" w:rsidRDefault="00312603">
      <w:pPr>
        <w:pBdr>
          <w:bottom w:val="single" w:sz="6" w:space="1" w:color="auto"/>
        </w:pBdr>
        <w:rPr>
          <w:b/>
        </w:rPr>
      </w:pPr>
    </w:p>
    <w:p w:rsidR="00312603" w:rsidRDefault="00312603">
      <w:pPr>
        <w:rPr>
          <w:b/>
        </w:rPr>
      </w:pPr>
    </w:p>
    <w:p w:rsidR="00312603" w:rsidRDefault="00312603">
      <w:pPr>
        <w:autoSpaceDE w:val="0"/>
        <w:autoSpaceDN w:val="0"/>
        <w:adjustRightInd w:val="0"/>
        <w:rPr>
          <w:szCs w:val="38"/>
          <w:lang w:val="en-US"/>
        </w:rPr>
      </w:pPr>
      <w:r>
        <w:rPr>
          <w:szCs w:val="38"/>
          <w:lang w:val="en-US"/>
        </w:rPr>
        <w:t>Cardiac Troponin After Major Vascular Surgery</w:t>
      </w:r>
    </w:p>
    <w:p w:rsidR="00312603" w:rsidRDefault="00312603">
      <w:pPr>
        <w:autoSpaceDE w:val="0"/>
        <w:autoSpaceDN w:val="0"/>
        <w:adjustRightInd w:val="0"/>
        <w:rPr>
          <w:lang w:val="en-US"/>
        </w:rPr>
      </w:pPr>
      <w:r>
        <w:rPr>
          <w:szCs w:val="28"/>
          <w:lang w:val="en-US"/>
        </w:rPr>
        <w:t>The Role of Perioperative Ischemia, Preoperative Thallium Scanning, and Coronary Revascularization</w:t>
      </w:r>
    </w:p>
    <w:p w:rsidR="00312603" w:rsidRDefault="00312603">
      <w:pPr>
        <w:autoSpaceDE w:val="0"/>
        <w:autoSpaceDN w:val="0"/>
        <w:adjustRightInd w:val="0"/>
        <w:rPr>
          <w:szCs w:val="18"/>
          <w:lang w:val="en-US"/>
        </w:rPr>
      </w:pPr>
    </w:p>
    <w:p w:rsidR="00312603" w:rsidRDefault="00312603">
      <w:pPr>
        <w:autoSpaceDE w:val="0"/>
        <w:autoSpaceDN w:val="0"/>
        <w:adjustRightInd w:val="0"/>
        <w:rPr>
          <w:szCs w:val="18"/>
          <w:lang w:val="en-US"/>
        </w:rPr>
      </w:pPr>
      <w:r>
        <w:rPr>
          <w:szCs w:val="18"/>
          <w:lang w:val="en-US"/>
        </w:rPr>
        <w:t>Troponin elevations occur frequently after vascular surgery. They are strongly associated with</w:t>
      </w:r>
    </w:p>
    <w:p w:rsidR="00312603" w:rsidRDefault="00312603">
      <w:pPr>
        <w:autoSpaceDE w:val="0"/>
        <w:autoSpaceDN w:val="0"/>
        <w:adjustRightInd w:val="0"/>
        <w:rPr>
          <w:szCs w:val="18"/>
          <w:lang w:val="en-US"/>
        </w:rPr>
      </w:pPr>
      <w:r>
        <w:rPr>
          <w:szCs w:val="18"/>
          <w:lang w:val="en-US"/>
        </w:rPr>
        <w:t>postoperative ischemia, predicted by inducible ischemia on PTS, and reduced by preoperative</w:t>
      </w:r>
    </w:p>
    <w:p w:rsidR="00312603" w:rsidRDefault="00312603">
      <w:pPr>
        <w:autoSpaceDE w:val="0"/>
        <w:autoSpaceDN w:val="0"/>
        <w:adjustRightInd w:val="0"/>
        <w:rPr>
          <w:lang w:val="en-US"/>
        </w:rPr>
      </w:pPr>
      <w:r>
        <w:rPr>
          <w:szCs w:val="18"/>
          <w:lang w:val="en-US"/>
        </w:rPr>
        <w:t xml:space="preserve">coronary revascularization. </w:t>
      </w:r>
      <w:hyperlink r:id="rId15" w:history="1">
        <w:r>
          <w:rPr>
            <w:rStyle w:val="Hyperlink"/>
            <w:szCs w:val="18"/>
            <w:lang w:val="en-US"/>
          </w:rPr>
          <w:t>(J A</w:t>
        </w:r>
        <w:r>
          <w:rPr>
            <w:rStyle w:val="Hyperlink"/>
            <w:szCs w:val="18"/>
            <w:lang w:val="en-US"/>
          </w:rPr>
          <w:t>m</w:t>
        </w:r>
        <w:r>
          <w:rPr>
            <w:rStyle w:val="Hyperlink"/>
            <w:szCs w:val="18"/>
            <w:lang w:val="en-US"/>
          </w:rPr>
          <w:t xml:space="preserve"> C</w:t>
        </w:r>
        <w:r>
          <w:rPr>
            <w:rStyle w:val="Hyperlink"/>
            <w:szCs w:val="18"/>
            <w:lang w:val="en-US"/>
          </w:rPr>
          <w:t>o</w:t>
        </w:r>
        <w:r>
          <w:rPr>
            <w:rStyle w:val="Hyperlink"/>
            <w:szCs w:val="18"/>
            <w:lang w:val="en-US"/>
          </w:rPr>
          <w:t>ll Cardiol 2004;44:569 –75)</w:t>
        </w:r>
      </w:hyperlink>
    </w:p>
    <w:p w:rsidR="00312603" w:rsidRDefault="00312603">
      <w:pPr>
        <w:rPr>
          <w:b/>
        </w:rPr>
      </w:pPr>
    </w:p>
    <w:p w:rsidR="00312603" w:rsidRDefault="00312603">
      <w:pPr>
        <w:rPr>
          <w:b/>
        </w:rPr>
      </w:pPr>
    </w:p>
    <w:p w:rsidR="00312603" w:rsidRDefault="00312603">
      <w:pPr>
        <w:rPr>
          <w:b/>
        </w:rPr>
      </w:pPr>
      <w:r>
        <w:rPr>
          <w:b/>
        </w:rPr>
        <w:t>_______________________________________________________</w:t>
      </w:r>
    </w:p>
    <w:p w:rsidR="00312603" w:rsidRDefault="00312603">
      <w:r>
        <w:t>**Dipyridamole-thallium scintigraphy and gated radionuclide angiography to assess cardiac risk before abdominal aortic surgery, NEJM 1994;330:663-9</w:t>
      </w:r>
    </w:p>
    <w:p w:rsidR="00312603" w:rsidRDefault="00312603"/>
    <w:p w:rsidR="00312603" w:rsidRDefault="00312603">
      <w:r>
        <w:t>Obtained clinical and scintigraphic data prospectively in 457 consecutive patients undergiong elective abdominal aortic surgery. Cardiac complications occured in 19% (myocardial ischaemia, congestive heart failure, severe ventricular tachyarrythmia). 20 patients died (4.4%), half from cardiac causes (equally distributed between LVF and MI). The best clinical correlates (multivariate analysis) of cardiac complications were definite clinical evidence of coronary artery disease (OR 2.6) and age greater than 65 years (OR 2.3). Measurement of ejection fraction was only useful in the prediction of left ventricular failure (note that LVEF&lt;50% in 16% and &lt;35% in only 2%- numbers in the latter group too small to draw firm conclusions). Age greater than 65 years was the only predictor of death. Thallium scanning with SPECT was not helpful.</w:t>
      </w:r>
    </w:p>
    <w:p w:rsidR="00312603" w:rsidRDefault="00312603"/>
    <w:p w:rsidR="00312603" w:rsidRDefault="00312603">
      <w:r>
        <w:t>Apparently another recent good PROSPECTIVE study had shown similiar results. Note that thallium scanning was normal in around one third with definite coronary artery disease. Note also that over half of patients had an abnormal thallium scan either fixed or reversible defect.</w:t>
      </w:r>
    </w:p>
    <w:p w:rsidR="00312603" w:rsidRDefault="00312603">
      <w:r>
        <w:t>_____________________________________________</w:t>
      </w:r>
    </w:p>
    <w:p w:rsidR="00312603" w:rsidRDefault="00312603"/>
    <w:p w:rsidR="00312603" w:rsidRDefault="00312603">
      <w:r>
        <w:t>**Angina and persistent exercise thallium defects: independent risk factors in elective vascular surgery, JACC 1993;21:1347-52</w:t>
      </w:r>
    </w:p>
    <w:p w:rsidR="00312603" w:rsidRDefault="00312603"/>
    <w:p w:rsidR="00312603" w:rsidRDefault="00312603">
      <w:r>
        <w:t>A retrospective analysis of 116 men. Of clinical varaiables only history of IHD was significantly different on univariate analysis.</w:t>
      </w:r>
    </w:p>
    <w:p w:rsidR="00312603" w:rsidRDefault="00312603"/>
    <w:p w:rsidR="00312603" w:rsidRDefault="00312603">
      <w:r>
        <w:t xml:space="preserve">18.9% had a perioperative MI, 1.7% were fatal. 47% of those who did not have a cardiac event had an abnormal thallium scan, and 77% with complication had abnormal thallium scan. (PPV 26%). Persistent defects were significantly worse in those with cardiac complication but reversible defects were not significantly different (at variance with other studies). </w:t>
      </w:r>
    </w:p>
    <w:p w:rsidR="00312603" w:rsidRDefault="00312603"/>
    <w:p w:rsidR="00312603" w:rsidRDefault="00312603">
      <w:r>
        <w:t>On multivariate analysis only presence of thallium defect (OR 2.48) and history of angina (OR 6.8) were significantly different.</w:t>
      </w:r>
    </w:p>
    <w:p w:rsidR="00312603" w:rsidRDefault="00312603"/>
    <w:p w:rsidR="00312603" w:rsidRDefault="00312603">
      <w:r>
        <w:t>_____________________________________________</w:t>
      </w:r>
    </w:p>
    <w:p w:rsidR="00312603" w:rsidRDefault="00312603"/>
    <w:p w:rsidR="00312603" w:rsidRDefault="00312603">
      <w:r>
        <w:t>Additive value of thallium single-photon emission computed tomography myocardial imaging for prediction of perioperative events in clinically selected high risk cardiac patients having abdominal aortic surgery, Am J cardiol 1996;77:143-</w:t>
      </w:r>
    </w:p>
    <w:p w:rsidR="00312603" w:rsidRDefault="00312603"/>
    <w:p w:rsidR="00312603" w:rsidRDefault="00312603">
      <w:r>
        <w:t>Not read in detail</w:t>
      </w:r>
    </w:p>
    <w:p w:rsidR="00312603" w:rsidRDefault="00312603">
      <w:r>
        <w:t>_______________________________________________________</w:t>
      </w:r>
    </w:p>
    <w:p w:rsidR="00312603" w:rsidRDefault="00312603"/>
    <w:p w:rsidR="00312603" w:rsidRDefault="00312603">
      <w:r>
        <w:t>**Development and validation of a Bayesian model for perioperative cardiac risk assessment in a cohort of 1081 vascular surgical candidates, JACC 1996;27:779-86</w:t>
      </w:r>
    </w:p>
    <w:p w:rsidR="00312603" w:rsidRDefault="00312603"/>
    <w:p w:rsidR="00312603" w:rsidRDefault="00312603">
      <w:r>
        <w:t>The cohort comprises 1081 consecutive vascular surgery candidates at five medical centers. Of these, 567 patients from two centers were used to define the model (the training set). Risk scores were developed using logistic regression analysis for clinical variables: advanced age (&gt;70), angina, history of myocardial infarction, diabetes, history of congestive heart failure, and prior coronary revascularisation. A second model was derived from dipyridamole-thallium predictors of myocardial infarction (ie fixed and reversible perfusion defects, and St segment changes).</w:t>
      </w:r>
    </w:p>
    <w:p w:rsidR="00312603" w:rsidRDefault="00312603"/>
    <w:p w:rsidR="00312603" w:rsidRDefault="00312603">
      <w:r>
        <w:t>Model performance was assessed by comparing ROC curve analysis.</w:t>
      </w:r>
    </w:p>
    <w:p w:rsidR="00312603" w:rsidRDefault="00312603"/>
    <w:p w:rsidR="00312603" w:rsidRDefault="00312603">
      <w:r>
        <w:t>Results: The postoperative cardiac event rate was 8% for both sets. Prognostic accuracy (ie ROC area) was 74±3% (mean ±sd) for the clinical and 81±3% for the clinical and thallium models.</w:t>
      </w:r>
    </w:p>
    <w:p w:rsidR="00312603" w:rsidRDefault="00312603"/>
    <w:p w:rsidR="00312603" w:rsidRDefault="00312603">
      <w:r>
        <w:t>Among the validation sets, areas were 74±9%, 72</w:t>
      </w:r>
      <w:r>
        <w:sym w:font="Symbol" w:char="F0B1"/>
      </w:r>
      <w:r>
        <w:t>7%, and 75±5% for each center. Observed and estimated rates were similar.</w:t>
      </w:r>
    </w:p>
    <w:p w:rsidR="00312603" w:rsidRDefault="00312603"/>
    <w:p w:rsidR="00312603" w:rsidRDefault="00312603">
      <w:r>
        <w:t>By the clinical model, the observed rates were 3%, 8%, and 18% for patients classified as low, moderate and high risk by clinical factors (p&lt;0.0001). The addition of dipyridamole-thallium data reclassified &gt;80% of the moderate risk patients as low risk (3%) and high risk (19%) categories (p,0.0001) but provided no stratification for patients classified as low risk.</w:t>
      </w:r>
    </w:p>
    <w:p w:rsidR="00312603" w:rsidRDefault="00312603"/>
    <w:p w:rsidR="00312603" w:rsidRDefault="00312603">
      <w:r>
        <w:t>ADDITIONAL points:</w:t>
      </w:r>
    </w:p>
    <w:p w:rsidR="00312603" w:rsidRDefault="00312603"/>
    <w:p w:rsidR="00312603" w:rsidRDefault="00312603">
      <w:r>
        <w:t>Dist of study variables according to perioperative event-rate: validating set)</w:t>
      </w:r>
    </w:p>
    <w:p w:rsidR="00312603" w:rsidRDefault="00312603">
      <w:r>
        <w:t>(note that events were nonfatal myocardial infarction and cardiac death- uap excluded).</w:t>
      </w:r>
    </w:p>
    <w:p w:rsidR="00312603" w:rsidRDefault="00312603"/>
    <w:tbl>
      <w:tblPr>
        <w:tblW w:w="0" w:type="auto"/>
        <w:tblLayout w:type="fixed"/>
        <w:tblLook w:val="0000" w:firstRow="0" w:lastRow="0" w:firstColumn="0" w:lastColumn="0" w:noHBand="0" w:noVBand="0"/>
      </w:tblPr>
      <w:tblGrid>
        <w:gridCol w:w="1476"/>
        <w:gridCol w:w="1476"/>
        <w:gridCol w:w="1476"/>
        <w:gridCol w:w="1476"/>
        <w:gridCol w:w="1476"/>
        <w:gridCol w:w="1476"/>
      </w:tblGrid>
      <w:tr w:rsidR="00312603">
        <w:tblPrEx>
          <w:tblCellMar>
            <w:top w:w="0" w:type="dxa"/>
            <w:bottom w:w="0" w:type="dxa"/>
          </w:tblCellMar>
        </w:tblPrEx>
        <w:tc>
          <w:tcPr>
            <w:tcW w:w="1476" w:type="dxa"/>
          </w:tcPr>
          <w:p w:rsidR="00312603" w:rsidRDefault="00312603">
            <w:pPr>
              <w:rPr>
                <w:b/>
              </w:rPr>
            </w:pPr>
            <w:r>
              <w:rPr>
                <w:b/>
              </w:rPr>
              <w:t>clinical variable</w:t>
            </w:r>
          </w:p>
        </w:tc>
        <w:tc>
          <w:tcPr>
            <w:tcW w:w="1476" w:type="dxa"/>
          </w:tcPr>
          <w:p w:rsidR="00312603" w:rsidRDefault="00312603">
            <w:pPr>
              <w:rPr>
                <w:b/>
              </w:rPr>
            </w:pPr>
            <w:r>
              <w:rPr>
                <w:b/>
              </w:rPr>
              <w:t>event (n=39)</w:t>
            </w:r>
          </w:p>
        </w:tc>
        <w:tc>
          <w:tcPr>
            <w:tcW w:w="1476" w:type="dxa"/>
          </w:tcPr>
          <w:p w:rsidR="00312603" w:rsidRDefault="00312603">
            <w:pPr>
              <w:rPr>
                <w:b/>
              </w:rPr>
            </w:pPr>
            <w:r>
              <w:rPr>
                <w:b/>
              </w:rPr>
              <w:t>no event (n=475)</w:t>
            </w:r>
          </w:p>
        </w:tc>
        <w:tc>
          <w:tcPr>
            <w:tcW w:w="1476" w:type="dxa"/>
          </w:tcPr>
          <w:p w:rsidR="00312603" w:rsidRDefault="00312603">
            <w:pPr>
              <w:rPr>
                <w:b/>
              </w:rPr>
            </w:pPr>
            <w:r>
              <w:rPr>
                <w:b/>
              </w:rPr>
              <w:t>OR (95% CI)</w:t>
            </w:r>
          </w:p>
        </w:tc>
        <w:tc>
          <w:tcPr>
            <w:tcW w:w="1476" w:type="dxa"/>
          </w:tcPr>
          <w:p w:rsidR="00312603" w:rsidRDefault="00312603">
            <w:pPr>
              <w:rPr>
                <w:b/>
              </w:rPr>
            </w:pPr>
            <w:r>
              <w:rPr>
                <w:b/>
              </w:rPr>
              <w:t>p value</w:t>
            </w:r>
          </w:p>
        </w:tc>
        <w:tc>
          <w:tcPr>
            <w:tcW w:w="1476" w:type="dxa"/>
          </w:tcPr>
          <w:p w:rsidR="00312603" w:rsidRDefault="00312603">
            <w:pPr>
              <w:rPr>
                <w:b/>
              </w:rPr>
            </w:pPr>
          </w:p>
        </w:tc>
      </w:tr>
      <w:tr w:rsidR="00312603">
        <w:tblPrEx>
          <w:tblCellMar>
            <w:top w:w="0" w:type="dxa"/>
            <w:bottom w:w="0" w:type="dxa"/>
          </w:tblCellMar>
        </w:tblPrEx>
        <w:tc>
          <w:tcPr>
            <w:tcW w:w="1476" w:type="dxa"/>
          </w:tcPr>
          <w:p w:rsidR="00312603" w:rsidRDefault="00312603">
            <w:r>
              <w:t>age &gt;70</w:t>
            </w:r>
          </w:p>
        </w:tc>
        <w:tc>
          <w:tcPr>
            <w:tcW w:w="1476" w:type="dxa"/>
          </w:tcPr>
          <w:p w:rsidR="00312603" w:rsidRDefault="00312603">
            <w:r>
              <w:t>46%</w:t>
            </w:r>
          </w:p>
        </w:tc>
        <w:tc>
          <w:tcPr>
            <w:tcW w:w="1476" w:type="dxa"/>
          </w:tcPr>
          <w:p w:rsidR="00312603" w:rsidRDefault="00312603">
            <w:r>
              <w:t>41%</w:t>
            </w:r>
          </w:p>
        </w:tc>
        <w:tc>
          <w:tcPr>
            <w:tcW w:w="1476" w:type="dxa"/>
          </w:tcPr>
          <w:p w:rsidR="00312603" w:rsidRDefault="00312603">
            <w:r>
              <w:t xml:space="preserve">1.2 </w:t>
            </w:r>
          </w:p>
        </w:tc>
        <w:tc>
          <w:tcPr>
            <w:tcW w:w="1476" w:type="dxa"/>
          </w:tcPr>
          <w:p w:rsidR="00312603" w:rsidRDefault="00312603">
            <w:r>
              <w:t>0.517</w:t>
            </w:r>
          </w:p>
        </w:tc>
        <w:tc>
          <w:tcPr>
            <w:tcW w:w="1476" w:type="dxa"/>
          </w:tcPr>
          <w:p w:rsidR="00312603" w:rsidRDefault="00312603"/>
        </w:tc>
      </w:tr>
      <w:tr w:rsidR="00312603">
        <w:tblPrEx>
          <w:tblCellMar>
            <w:top w:w="0" w:type="dxa"/>
            <w:bottom w:w="0" w:type="dxa"/>
          </w:tblCellMar>
        </w:tblPrEx>
        <w:tc>
          <w:tcPr>
            <w:tcW w:w="1476" w:type="dxa"/>
          </w:tcPr>
          <w:p w:rsidR="00312603" w:rsidRDefault="00312603">
            <w:r>
              <w:t>male</w:t>
            </w:r>
          </w:p>
        </w:tc>
        <w:tc>
          <w:tcPr>
            <w:tcW w:w="1476" w:type="dxa"/>
          </w:tcPr>
          <w:p w:rsidR="00312603" w:rsidRDefault="00312603">
            <w:r>
              <w:t>36%</w:t>
            </w:r>
          </w:p>
        </w:tc>
        <w:tc>
          <w:tcPr>
            <w:tcW w:w="1476" w:type="dxa"/>
          </w:tcPr>
          <w:p w:rsidR="00312603" w:rsidRDefault="00312603">
            <w:r>
              <w:t>44%</w:t>
            </w:r>
          </w:p>
        </w:tc>
        <w:tc>
          <w:tcPr>
            <w:tcW w:w="1476" w:type="dxa"/>
          </w:tcPr>
          <w:p w:rsidR="00312603" w:rsidRDefault="00312603">
            <w:r>
              <w:t>0.7</w:t>
            </w:r>
          </w:p>
        </w:tc>
        <w:tc>
          <w:tcPr>
            <w:tcW w:w="1476" w:type="dxa"/>
          </w:tcPr>
          <w:p w:rsidR="00312603" w:rsidRDefault="00312603">
            <w:r>
              <w:t>0.490</w:t>
            </w:r>
          </w:p>
        </w:tc>
        <w:tc>
          <w:tcPr>
            <w:tcW w:w="1476" w:type="dxa"/>
          </w:tcPr>
          <w:p w:rsidR="00312603" w:rsidRDefault="00312603"/>
        </w:tc>
      </w:tr>
      <w:tr w:rsidR="00312603">
        <w:tblPrEx>
          <w:tblCellMar>
            <w:top w:w="0" w:type="dxa"/>
            <w:bottom w:w="0" w:type="dxa"/>
          </w:tblCellMar>
        </w:tblPrEx>
        <w:tc>
          <w:tcPr>
            <w:tcW w:w="1476" w:type="dxa"/>
          </w:tcPr>
          <w:p w:rsidR="00312603" w:rsidRDefault="00312603">
            <w:r>
              <w:t>history of MI/q wave</w:t>
            </w:r>
          </w:p>
        </w:tc>
        <w:tc>
          <w:tcPr>
            <w:tcW w:w="1476" w:type="dxa"/>
          </w:tcPr>
          <w:p w:rsidR="00312603" w:rsidRDefault="00312603">
            <w:r>
              <w:t>85%</w:t>
            </w:r>
          </w:p>
        </w:tc>
        <w:tc>
          <w:tcPr>
            <w:tcW w:w="1476" w:type="dxa"/>
          </w:tcPr>
          <w:p w:rsidR="00312603" w:rsidRDefault="00312603">
            <w:r>
              <w:t>54%</w:t>
            </w:r>
          </w:p>
        </w:tc>
        <w:tc>
          <w:tcPr>
            <w:tcW w:w="1476" w:type="dxa"/>
          </w:tcPr>
          <w:p w:rsidR="00312603" w:rsidRDefault="00312603">
            <w:r>
              <w:t>4.8</w:t>
            </w:r>
          </w:p>
        </w:tc>
        <w:tc>
          <w:tcPr>
            <w:tcW w:w="1476" w:type="dxa"/>
          </w:tcPr>
          <w:p w:rsidR="00312603" w:rsidRDefault="00312603">
            <w:r>
              <w:t>0.000</w:t>
            </w:r>
          </w:p>
        </w:tc>
        <w:tc>
          <w:tcPr>
            <w:tcW w:w="1476" w:type="dxa"/>
          </w:tcPr>
          <w:p w:rsidR="00312603" w:rsidRDefault="00312603"/>
        </w:tc>
      </w:tr>
      <w:tr w:rsidR="00312603">
        <w:tblPrEx>
          <w:tblCellMar>
            <w:top w:w="0" w:type="dxa"/>
            <w:bottom w:w="0" w:type="dxa"/>
          </w:tblCellMar>
        </w:tblPrEx>
        <w:tc>
          <w:tcPr>
            <w:tcW w:w="1476" w:type="dxa"/>
          </w:tcPr>
          <w:p w:rsidR="00312603" w:rsidRDefault="00312603">
            <w:r>
              <w:t>history of angina</w:t>
            </w:r>
          </w:p>
        </w:tc>
        <w:tc>
          <w:tcPr>
            <w:tcW w:w="1476" w:type="dxa"/>
          </w:tcPr>
          <w:p w:rsidR="00312603" w:rsidRDefault="00312603">
            <w:r>
              <w:t>31%</w:t>
            </w:r>
          </w:p>
        </w:tc>
        <w:tc>
          <w:tcPr>
            <w:tcW w:w="1476" w:type="dxa"/>
          </w:tcPr>
          <w:p w:rsidR="00312603" w:rsidRDefault="00312603">
            <w:r>
              <w:t>28%</w:t>
            </w:r>
          </w:p>
        </w:tc>
        <w:tc>
          <w:tcPr>
            <w:tcW w:w="1476" w:type="dxa"/>
          </w:tcPr>
          <w:p w:rsidR="00312603" w:rsidRDefault="00312603">
            <w:r>
              <w:t>1.1</w:t>
            </w:r>
          </w:p>
        </w:tc>
        <w:tc>
          <w:tcPr>
            <w:tcW w:w="1476" w:type="dxa"/>
          </w:tcPr>
          <w:p w:rsidR="00312603" w:rsidRDefault="00312603">
            <w:r>
              <w:t>0.755</w:t>
            </w:r>
          </w:p>
        </w:tc>
        <w:tc>
          <w:tcPr>
            <w:tcW w:w="1476" w:type="dxa"/>
          </w:tcPr>
          <w:p w:rsidR="00312603" w:rsidRDefault="00312603"/>
        </w:tc>
      </w:tr>
      <w:tr w:rsidR="00312603">
        <w:tblPrEx>
          <w:tblCellMar>
            <w:top w:w="0" w:type="dxa"/>
            <w:bottom w:w="0" w:type="dxa"/>
          </w:tblCellMar>
        </w:tblPrEx>
        <w:tc>
          <w:tcPr>
            <w:tcW w:w="1476" w:type="dxa"/>
          </w:tcPr>
          <w:p w:rsidR="00312603" w:rsidRDefault="00312603">
            <w:r>
              <w:t>history of diabetes</w:t>
            </w:r>
          </w:p>
        </w:tc>
        <w:tc>
          <w:tcPr>
            <w:tcW w:w="1476" w:type="dxa"/>
          </w:tcPr>
          <w:p w:rsidR="00312603" w:rsidRDefault="00312603">
            <w:r>
              <w:t>69%</w:t>
            </w:r>
          </w:p>
        </w:tc>
        <w:tc>
          <w:tcPr>
            <w:tcW w:w="1476" w:type="dxa"/>
          </w:tcPr>
          <w:p w:rsidR="00312603" w:rsidRDefault="00312603">
            <w:r>
              <w:t>53%</w:t>
            </w:r>
          </w:p>
        </w:tc>
        <w:tc>
          <w:tcPr>
            <w:tcW w:w="1476" w:type="dxa"/>
          </w:tcPr>
          <w:p w:rsidR="00312603" w:rsidRDefault="00312603">
            <w:r>
              <w:t>2.0</w:t>
            </w:r>
          </w:p>
        </w:tc>
        <w:tc>
          <w:tcPr>
            <w:tcW w:w="1476" w:type="dxa"/>
          </w:tcPr>
          <w:p w:rsidR="00312603" w:rsidRDefault="00312603">
            <w:r>
              <w:t>0.048</w:t>
            </w:r>
          </w:p>
        </w:tc>
        <w:tc>
          <w:tcPr>
            <w:tcW w:w="1476" w:type="dxa"/>
          </w:tcPr>
          <w:p w:rsidR="00312603" w:rsidRDefault="00312603"/>
        </w:tc>
      </w:tr>
      <w:tr w:rsidR="00312603">
        <w:tblPrEx>
          <w:tblCellMar>
            <w:top w:w="0" w:type="dxa"/>
            <w:bottom w:w="0" w:type="dxa"/>
          </w:tblCellMar>
        </w:tblPrEx>
        <w:tc>
          <w:tcPr>
            <w:tcW w:w="1476" w:type="dxa"/>
          </w:tcPr>
          <w:p w:rsidR="00312603" w:rsidRDefault="00312603">
            <w:r>
              <w:t>prior CABG</w:t>
            </w:r>
          </w:p>
        </w:tc>
        <w:tc>
          <w:tcPr>
            <w:tcW w:w="1476" w:type="dxa"/>
          </w:tcPr>
          <w:p w:rsidR="00312603" w:rsidRDefault="00312603">
            <w:r>
              <w:t>13%</w:t>
            </w:r>
          </w:p>
        </w:tc>
        <w:tc>
          <w:tcPr>
            <w:tcW w:w="1476" w:type="dxa"/>
          </w:tcPr>
          <w:p w:rsidR="00312603" w:rsidRDefault="00312603">
            <w:r>
              <w:t>11%</w:t>
            </w:r>
          </w:p>
        </w:tc>
        <w:tc>
          <w:tcPr>
            <w:tcW w:w="1476" w:type="dxa"/>
          </w:tcPr>
          <w:p w:rsidR="00312603" w:rsidRDefault="00312603">
            <w:r>
              <w:t>1.2</w:t>
            </w:r>
          </w:p>
        </w:tc>
        <w:tc>
          <w:tcPr>
            <w:tcW w:w="1476" w:type="dxa"/>
          </w:tcPr>
          <w:p w:rsidR="00312603" w:rsidRDefault="00312603">
            <w:r>
              <w:t>0.600</w:t>
            </w:r>
          </w:p>
        </w:tc>
        <w:tc>
          <w:tcPr>
            <w:tcW w:w="1476" w:type="dxa"/>
          </w:tcPr>
          <w:p w:rsidR="00312603" w:rsidRDefault="00312603"/>
        </w:tc>
      </w:tr>
      <w:tr w:rsidR="00312603">
        <w:tblPrEx>
          <w:tblCellMar>
            <w:top w:w="0" w:type="dxa"/>
            <w:bottom w:w="0" w:type="dxa"/>
          </w:tblCellMar>
        </w:tblPrEx>
        <w:tc>
          <w:tcPr>
            <w:tcW w:w="1476" w:type="dxa"/>
          </w:tcPr>
          <w:p w:rsidR="00312603" w:rsidRDefault="00312603"/>
        </w:tc>
        <w:tc>
          <w:tcPr>
            <w:tcW w:w="1476" w:type="dxa"/>
          </w:tcPr>
          <w:p w:rsidR="00312603" w:rsidRDefault="00312603"/>
        </w:tc>
        <w:tc>
          <w:tcPr>
            <w:tcW w:w="1476" w:type="dxa"/>
          </w:tcPr>
          <w:p w:rsidR="00312603" w:rsidRDefault="00312603"/>
        </w:tc>
        <w:tc>
          <w:tcPr>
            <w:tcW w:w="1476" w:type="dxa"/>
          </w:tcPr>
          <w:p w:rsidR="00312603" w:rsidRDefault="00312603"/>
        </w:tc>
        <w:tc>
          <w:tcPr>
            <w:tcW w:w="1476" w:type="dxa"/>
          </w:tcPr>
          <w:p w:rsidR="00312603" w:rsidRDefault="00312603"/>
        </w:tc>
        <w:tc>
          <w:tcPr>
            <w:tcW w:w="1476" w:type="dxa"/>
          </w:tcPr>
          <w:p w:rsidR="00312603" w:rsidRDefault="00312603"/>
        </w:tc>
      </w:tr>
      <w:tr w:rsidR="00312603">
        <w:tblPrEx>
          <w:tblCellMar>
            <w:top w:w="0" w:type="dxa"/>
            <w:bottom w:w="0" w:type="dxa"/>
          </w:tblCellMar>
        </w:tblPrEx>
        <w:tc>
          <w:tcPr>
            <w:tcW w:w="1476" w:type="dxa"/>
          </w:tcPr>
          <w:p w:rsidR="00312603" w:rsidRDefault="00312603">
            <w:pPr>
              <w:rPr>
                <w:b/>
              </w:rPr>
            </w:pPr>
            <w:r>
              <w:rPr>
                <w:b/>
              </w:rPr>
              <w:t>Thallium variable</w:t>
            </w:r>
          </w:p>
        </w:tc>
        <w:tc>
          <w:tcPr>
            <w:tcW w:w="1476" w:type="dxa"/>
          </w:tcPr>
          <w:p w:rsidR="00312603" w:rsidRDefault="00312603">
            <w:pPr>
              <w:rPr>
                <w:b/>
              </w:rPr>
            </w:pPr>
          </w:p>
        </w:tc>
        <w:tc>
          <w:tcPr>
            <w:tcW w:w="1476" w:type="dxa"/>
          </w:tcPr>
          <w:p w:rsidR="00312603" w:rsidRDefault="00312603">
            <w:pPr>
              <w:rPr>
                <w:b/>
              </w:rPr>
            </w:pPr>
          </w:p>
        </w:tc>
        <w:tc>
          <w:tcPr>
            <w:tcW w:w="1476" w:type="dxa"/>
          </w:tcPr>
          <w:p w:rsidR="00312603" w:rsidRDefault="00312603">
            <w:pPr>
              <w:rPr>
                <w:b/>
              </w:rPr>
            </w:pPr>
          </w:p>
        </w:tc>
        <w:tc>
          <w:tcPr>
            <w:tcW w:w="1476" w:type="dxa"/>
          </w:tcPr>
          <w:p w:rsidR="00312603" w:rsidRDefault="00312603">
            <w:pPr>
              <w:rPr>
                <w:b/>
              </w:rPr>
            </w:pPr>
          </w:p>
        </w:tc>
        <w:tc>
          <w:tcPr>
            <w:tcW w:w="1476" w:type="dxa"/>
          </w:tcPr>
          <w:p w:rsidR="00312603" w:rsidRDefault="00312603">
            <w:pPr>
              <w:rPr>
                <w:b/>
              </w:rPr>
            </w:pPr>
          </w:p>
        </w:tc>
      </w:tr>
      <w:tr w:rsidR="00312603">
        <w:tblPrEx>
          <w:tblCellMar>
            <w:top w:w="0" w:type="dxa"/>
            <w:bottom w:w="0" w:type="dxa"/>
          </w:tblCellMar>
        </w:tblPrEx>
        <w:tc>
          <w:tcPr>
            <w:tcW w:w="1476" w:type="dxa"/>
          </w:tcPr>
          <w:p w:rsidR="00312603" w:rsidRDefault="00312603">
            <w:r>
              <w:t>fixed defects</w:t>
            </w:r>
          </w:p>
        </w:tc>
        <w:tc>
          <w:tcPr>
            <w:tcW w:w="1476" w:type="dxa"/>
          </w:tcPr>
          <w:p w:rsidR="00312603" w:rsidRDefault="00312603">
            <w:r>
              <w:t>46%</w:t>
            </w:r>
          </w:p>
        </w:tc>
        <w:tc>
          <w:tcPr>
            <w:tcW w:w="1476" w:type="dxa"/>
          </w:tcPr>
          <w:p w:rsidR="00312603" w:rsidRDefault="00312603">
            <w:r>
              <w:t>32%</w:t>
            </w:r>
          </w:p>
        </w:tc>
        <w:tc>
          <w:tcPr>
            <w:tcW w:w="1476" w:type="dxa"/>
          </w:tcPr>
          <w:p w:rsidR="00312603" w:rsidRDefault="00312603">
            <w:r>
              <w:t>1.8</w:t>
            </w:r>
          </w:p>
        </w:tc>
        <w:tc>
          <w:tcPr>
            <w:tcW w:w="1476" w:type="dxa"/>
          </w:tcPr>
          <w:p w:rsidR="00312603" w:rsidRDefault="00312603">
            <w:r>
              <w:t>0.076</w:t>
            </w:r>
          </w:p>
        </w:tc>
        <w:tc>
          <w:tcPr>
            <w:tcW w:w="1476" w:type="dxa"/>
          </w:tcPr>
          <w:p w:rsidR="00312603" w:rsidRDefault="00312603"/>
        </w:tc>
      </w:tr>
      <w:tr w:rsidR="00312603">
        <w:tblPrEx>
          <w:tblCellMar>
            <w:top w:w="0" w:type="dxa"/>
            <w:bottom w:w="0" w:type="dxa"/>
          </w:tblCellMar>
        </w:tblPrEx>
        <w:tc>
          <w:tcPr>
            <w:tcW w:w="1476" w:type="dxa"/>
          </w:tcPr>
          <w:p w:rsidR="00312603" w:rsidRDefault="00312603">
            <w:r>
              <w:t>reversible defects</w:t>
            </w:r>
          </w:p>
        </w:tc>
        <w:tc>
          <w:tcPr>
            <w:tcW w:w="1476" w:type="dxa"/>
          </w:tcPr>
          <w:p w:rsidR="00312603" w:rsidRDefault="00312603">
            <w:r>
              <w:t>59%</w:t>
            </w:r>
          </w:p>
        </w:tc>
        <w:tc>
          <w:tcPr>
            <w:tcW w:w="1476" w:type="dxa"/>
          </w:tcPr>
          <w:p w:rsidR="00312603" w:rsidRDefault="00312603">
            <w:r>
              <w:t>35%</w:t>
            </w:r>
          </w:p>
        </w:tc>
        <w:tc>
          <w:tcPr>
            <w:tcW w:w="1476" w:type="dxa"/>
          </w:tcPr>
          <w:p w:rsidR="00312603" w:rsidRDefault="00312603">
            <w:r>
              <w:t>1.8</w:t>
            </w:r>
          </w:p>
        </w:tc>
        <w:tc>
          <w:tcPr>
            <w:tcW w:w="1476" w:type="dxa"/>
          </w:tcPr>
          <w:p w:rsidR="00312603" w:rsidRDefault="00312603">
            <w:r>
              <w:t>0.003</w:t>
            </w:r>
          </w:p>
        </w:tc>
        <w:tc>
          <w:tcPr>
            <w:tcW w:w="1476" w:type="dxa"/>
          </w:tcPr>
          <w:p w:rsidR="00312603" w:rsidRDefault="00312603"/>
        </w:tc>
      </w:tr>
      <w:tr w:rsidR="00312603">
        <w:tblPrEx>
          <w:tblCellMar>
            <w:top w:w="0" w:type="dxa"/>
            <w:bottom w:w="0" w:type="dxa"/>
          </w:tblCellMar>
        </w:tblPrEx>
        <w:tc>
          <w:tcPr>
            <w:tcW w:w="1476" w:type="dxa"/>
          </w:tcPr>
          <w:p w:rsidR="00312603" w:rsidRDefault="00312603">
            <w:r>
              <w:t>ischaemic ST changes</w:t>
            </w:r>
          </w:p>
        </w:tc>
        <w:tc>
          <w:tcPr>
            <w:tcW w:w="1476" w:type="dxa"/>
          </w:tcPr>
          <w:p w:rsidR="00312603" w:rsidRDefault="00312603">
            <w:r>
              <w:t>23%</w:t>
            </w:r>
          </w:p>
        </w:tc>
        <w:tc>
          <w:tcPr>
            <w:tcW w:w="1476" w:type="dxa"/>
          </w:tcPr>
          <w:p w:rsidR="00312603" w:rsidRDefault="00312603">
            <w:r>
              <w:t>10%</w:t>
            </w:r>
          </w:p>
        </w:tc>
        <w:tc>
          <w:tcPr>
            <w:tcW w:w="1476" w:type="dxa"/>
          </w:tcPr>
          <w:p w:rsidR="00312603" w:rsidRDefault="00312603">
            <w:r>
              <w:t>2.7</w:t>
            </w:r>
          </w:p>
        </w:tc>
        <w:tc>
          <w:tcPr>
            <w:tcW w:w="1476" w:type="dxa"/>
          </w:tcPr>
          <w:p w:rsidR="00312603" w:rsidRDefault="00312603">
            <w:r>
              <w:t>0.011</w:t>
            </w:r>
          </w:p>
        </w:tc>
        <w:tc>
          <w:tcPr>
            <w:tcW w:w="1476" w:type="dxa"/>
          </w:tcPr>
          <w:p w:rsidR="00312603" w:rsidRDefault="00312603"/>
        </w:tc>
      </w:tr>
      <w:tr w:rsidR="00312603">
        <w:tblPrEx>
          <w:tblCellMar>
            <w:top w:w="0" w:type="dxa"/>
            <w:bottom w:w="0" w:type="dxa"/>
          </w:tblCellMar>
        </w:tblPrEx>
        <w:tc>
          <w:tcPr>
            <w:tcW w:w="1476" w:type="dxa"/>
          </w:tcPr>
          <w:p w:rsidR="00312603" w:rsidRDefault="00312603"/>
        </w:tc>
        <w:tc>
          <w:tcPr>
            <w:tcW w:w="1476" w:type="dxa"/>
          </w:tcPr>
          <w:p w:rsidR="00312603" w:rsidRDefault="00312603"/>
        </w:tc>
        <w:tc>
          <w:tcPr>
            <w:tcW w:w="1476" w:type="dxa"/>
          </w:tcPr>
          <w:p w:rsidR="00312603" w:rsidRDefault="00312603"/>
        </w:tc>
        <w:tc>
          <w:tcPr>
            <w:tcW w:w="1476" w:type="dxa"/>
          </w:tcPr>
          <w:p w:rsidR="00312603" w:rsidRDefault="00312603"/>
        </w:tc>
        <w:tc>
          <w:tcPr>
            <w:tcW w:w="1476" w:type="dxa"/>
          </w:tcPr>
          <w:p w:rsidR="00312603" w:rsidRDefault="00312603"/>
        </w:tc>
        <w:tc>
          <w:tcPr>
            <w:tcW w:w="1476" w:type="dxa"/>
          </w:tcPr>
          <w:p w:rsidR="00312603" w:rsidRDefault="00312603"/>
        </w:tc>
      </w:tr>
    </w:tbl>
    <w:p w:rsidR="00312603" w:rsidRDefault="00312603"/>
    <w:p w:rsidR="00312603" w:rsidRDefault="00312603"/>
    <w:p w:rsidR="00312603" w:rsidRDefault="00312603">
      <w:r>
        <w:t>Likelihood ratio=</w:t>
      </w:r>
    </w:p>
    <w:p w:rsidR="00312603" w:rsidRDefault="00312603">
      <w:r>
        <w:t>(proportion with particular result with event)/</w:t>
      </w:r>
    </w:p>
    <w:p w:rsidR="00312603" w:rsidRDefault="00312603">
      <w:r>
        <w:t>(proportion with particular result who do not have an event)</w:t>
      </w:r>
    </w:p>
    <w:p w:rsidR="00312603" w:rsidRDefault="00312603"/>
    <w:p w:rsidR="00312603" w:rsidRDefault="00312603">
      <w:r>
        <w:t>A likelihood ratio&gt;1 indicates greater than average risk. In this study likelihood ration were calculated from logistic regression analysis using a previously described method. The coefficient below were obtained:</w:t>
      </w:r>
    </w:p>
    <w:p w:rsidR="00312603" w:rsidRDefault="00312603"/>
    <w:tbl>
      <w:tblPr>
        <w:tblW w:w="0" w:type="auto"/>
        <w:tblLayout w:type="fixed"/>
        <w:tblLook w:val="0000" w:firstRow="0" w:lastRow="0" w:firstColumn="0" w:lastColumn="0" w:noHBand="0" w:noVBand="0"/>
      </w:tblPr>
      <w:tblGrid>
        <w:gridCol w:w="1476"/>
        <w:gridCol w:w="1751"/>
        <w:gridCol w:w="3260"/>
      </w:tblGrid>
      <w:tr w:rsidR="00312603">
        <w:tblPrEx>
          <w:tblCellMar>
            <w:top w:w="0" w:type="dxa"/>
            <w:bottom w:w="0" w:type="dxa"/>
          </w:tblCellMar>
        </w:tblPrEx>
        <w:tc>
          <w:tcPr>
            <w:tcW w:w="1476" w:type="dxa"/>
          </w:tcPr>
          <w:p w:rsidR="00312603" w:rsidRDefault="00312603">
            <w:pPr>
              <w:rPr>
                <w:b/>
              </w:rPr>
            </w:pPr>
            <w:r>
              <w:rPr>
                <w:b/>
              </w:rPr>
              <w:t>clinical variable</w:t>
            </w:r>
          </w:p>
        </w:tc>
        <w:tc>
          <w:tcPr>
            <w:tcW w:w="1751" w:type="dxa"/>
          </w:tcPr>
          <w:p w:rsidR="00312603" w:rsidRDefault="00312603">
            <w:pPr>
              <w:rPr>
                <w:b/>
              </w:rPr>
            </w:pPr>
            <w:r>
              <w:rPr>
                <w:b/>
              </w:rPr>
              <w:t>coefficient</w:t>
            </w:r>
          </w:p>
        </w:tc>
        <w:tc>
          <w:tcPr>
            <w:tcW w:w="3260" w:type="dxa"/>
          </w:tcPr>
          <w:p w:rsidR="00312603" w:rsidRDefault="00312603">
            <w:pPr>
              <w:rPr>
                <w:b/>
              </w:rPr>
            </w:pPr>
            <w:r>
              <w:rPr>
                <w:b/>
              </w:rPr>
              <w:t>p value</w:t>
            </w:r>
          </w:p>
        </w:tc>
      </w:tr>
      <w:tr w:rsidR="00312603">
        <w:tblPrEx>
          <w:tblCellMar>
            <w:top w:w="0" w:type="dxa"/>
            <w:bottom w:w="0" w:type="dxa"/>
          </w:tblCellMar>
        </w:tblPrEx>
        <w:tc>
          <w:tcPr>
            <w:tcW w:w="1476" w:type="dxa"/>
          </w:tcPr>
          <w:p w:rsidR="00312603" w:rsidRDefault="00312603">
            <w:r>
              <w:t>age &gt;70</w:t>
            </w:r>
          </w:p>
        </w:tc>
        <w:tc>
          <w:tcPr>
            <w:tcW w:w="1751" w:type="dxa"/>
          </w:tcPr>
          <w:p w:rsidR="00312603" w:rsidRDefault="00312603">
            <w:r>
              <w:t>0.500</w:t>
            </w:r>
          </w:p>
        </w:tc>
        <w:tc>
          <w:tcPr>
            <w:tcW w:w="3260" w:type="dxa"/>
          </w:tcPr>
          <w:p w:rsidR="00312603" w:rsidRDefault="00312603">
            <w:r>
              <w:t>0.125</w:t>
            </w:r>
          </w:p>
        </w:tc>
      </w:tr>
      <w:tr w:rsidR="00312603">
        <w:tblPrEx>
          <w:tblCellMar>
            <w:top w:w="0" w:type="dxa"/>
            <w:bottom w:w="0" w:type="dxa"/>
          </w:tblCellMar>
        </w:tblPrEx>
        <w:tc>
          <w:tcPr>
            <w:tcW w:w="1476" w:type="dxa"/>
          </w:tcPr>
          <w:p w:rsidR="00312603" w:rsidRDefault="00312603">
            <w:pPr>
              <w:rPr>
                <w:b/>
                <w:i/>
              </w:rPr>
            </w:pPr>
            <w:r>
              <w:rPr>
                <w:b/>
                <w:i/>
              </w:rPr>
              <w:t>diabetes</w:t>
            </w:r>
          </w:p>
        </w:tc>
        <w:tc>
          <w:tcPr>
            <w:tcW w:w="1751" w:type="dxa"/>
          </w:tcPr>
          <w:p w:rsidR="00312603" w:rsidRDefault="00312603">
            <w:pPr>
              <w:rPr>
                <w:b/>
                <w:i/>
              </w:rPr>
            </w:pPr>
            <w:r>
              <w:rPr>
                <w:b/>
                <w:i/>
              </w:rPr>
              <w:t>0.747</w:t>
            </w:r>
          </w:p>
        </w:tc>
        <w:tc>
          <w:tcPr>
            <w:tcW w:w="3260" w:type="dxa"/>
          </w:tcPr>
          <w:p w:rsidR="00312603" w:rsidRDefault="00312603">
            <w:pPr>
              <w:rPr>
                <w:b/>
                <w:i/>
              </w:rPr>
            </w:pPr>
            <w:r>
              <w:rPr>
                <w:b/>
                <w:i/>
              </w:rPr>
              <w:t>0.027</w:t>
            </w:r>
          </w:p>
        </w:tc>
      </w:tr>
      <w:tr w:rsidR="00312603">
        <w:tblPrEx>
          <w:tblCellMar>
            <w:top w:w="0" w:type="dxa"/>
            <w:bottom w:w="0" w:type="dxa"/>
          </w:tblCellMar>
        </w:tblPrEx>
        <w:tc>
          <w:tcPr>
            <w:tcW w:w="1476" w:type="dxa"/>
          </w:tcPr>
          <w:p w:rsidR="00312603" w:rsidRDefault="00312603">
            <w:r>
              <w:t>history of MI/q wave</w:t>
            </w:r>
          </w:p>
        </w:tc>
        <w:tc>
          <w:tcPr>
            <w:tcW w:w="1751" w:type="dxa"/>
          </w:tcPr>
          <w:p w:rsidR="00312603" w:rsidRDefault="00312603">
            <w:r>
              <w:t>0.470</w:t>
            </w:r>
          </w:p>
        </w:tc>
        <w:tc>
          <w:tcPr>
            <w:tcW w:w="3260" w:type="dxa"/>
          </w:tcPr>
          <w:p w:rsidR="00312603" w:rsidRDefault="00312603">
            <w:r>
              <w:t>0.177</w:t>
            </w:r>
          </w:p>
        </w:tc>
      </w:tr>
      <w:tr w:rsidR="00312603">
        <w:tblPrEx>
          <w:tblCellMar>
            <w:top w:w="0" w:type="dxa"/>
            <w:bottom w:w="0" w:type="dxa"/>
          </w:tblCellMar>
        </w:tblPrEx>
        <w:tc>
          <w:tcPr>
            <w:tcW w:w="1476" w:type="dxa"/>
          </w:tcPr>
          <w:p w:rsidR="00312603" w:rsidRDefault="00312603">
            <w:pPr>
              <w:rPr>
                <w:b/>
                <w:i/>
              </w:rPr>
            </w:pPr>
            <w:r>
              <w:rPr>
                <w:b/>
                <w:i/>
              </w:rPr>
              <w:t>history of angina</w:t>
            </w:r>
          </w:p>
        </w:tc>
        <w:tc>
          <w:tcPr>
            <w:tcW w:w="1751" w:type="dxa"/>
          </w:tcPr>
          <w:p w:rsidR="00312603" w:rsidRDefault="00312603">
            <w:pPr>
              <w:rPr>
                <w:b/>
                <w:i/>
              </w:rPr>
            </w:pPr>
            <w:r>
              <w:rPr>
                <w:b/>
                <w:i/>
              </w:rPr>
              <w:t>0.786</w:t>
            </w:r>
          </w:p>
        </w:tc>
        <w:tc>
          <w:tcPr>
            <w:tcW w:w="3260" w:type="dxa"/>
          </w:tcPr>
          <w:p w:rsidR="00312603" w:rsidRDefault="00312603">
            <w:pPr>
              <w:rPr>
                <w:b/>
                <w:i/>
              </w:rPr>
            </w:pPr>
            <w:r>
              <w:rPr>
                <w:b/>
                <w:i/>
              </w:rPr>
              <w:t>0.027</w:t>
            </w:r>
          </w:p>
        </w:tc>
      </w:tr>
      <w:tr w:rsidR="00312603">
        <w:tblPrEx>
          <w:tblCellMar>
            <w:top w:w="0" w:type="dxa"/>
            <w:bottom w:w="0" w:type="dxa"/>
          </w:tblCellMar>
        </w:tblPrEx>
        <w:tc>
          <w:tcPr>
            <w:tcW w:w="1476" w:type="dxa"/>
          </w:tcPr>
          <w:p w:rsidR="00312603" w:rsidRDefault="00312603">
            <w:pPr>
              <w:rPr>
                <w:b/>
                <w:i/>
              </w:rPr>
            </w:pPr>
            <w:r>
              <w:rPr>
                <w:b/>
                <w:i/>
              </w:rPr>
              <w:t>prior CABG</w:t>
            </w:r>
          </w:p>
        </w:tc>
        <w:tc>
          <w:tcPr>
            <w:tcW w:w="1751" w:type="dxa"/>
          </w:tcPr>
          <w:p w:rsidR="00312603" w:rsidRDefault="00312603">
            <w:pPr>
              <w:rPr>
                <w:b/>
                <w:i/>
              </w:rPr>
            </w:pPr>
            <w:r>
              <w:rPr>
                <w:b/>
                <w:i/>
              </w:rPr>
              <w:t>-2.238</w:t>
            </w:r>
          </w:p>
        </w:tc>
        <w:tc>
          <w:tcPr>
            <w:tcW w:w="3260" w:type="dxa"/>
          </w:tcPr>
          <w:p w:rsidR="00312603" w:rsidRDefault="00312603">
            <w:pPr>
              <w:rPr>
                <w:b/>
                <w:i/>
              </w:rPr>
            </w:pPr>
            <w:r>
              <w:rPr>
                <w:b/>
                <w:i/>
              </w:rPr>
              <w:t>0.028</w:t>
            </w:r>
          </w:p>
        </w:tc>
      </w:tr>
      <w:tr w:rsidR="00312603">
        <w:tblPrEx>
          <w:tblCellMar>
            <w:top w:w="0" w:type="dxa"/>
            <w:bottom w:w="0" w:type="dxa"/>
          </w:tblCellMar>
        </w:tblPrEx>
        <w:tc>
          <w:tcPr>
            <w:tcW w:w="1476" w:type="dxa"/>
          </w:tcPr>
          <w:p w:rsidR="00312603" w:rsidRDefault="00312603"/>
          <w:p w:rsidR="00312603" w:rsidRDefault="00312603"/>
          <w:p w:rsidR="00312603" w:rsidRDefault="00312603"/>
        </w:tc>
        <w:tc>
          <w:tcPr>
            <w:tcW w:w="5011" w:type="dxa"/>
            <w:gridSpan w:val="2"/>
          </w:tcPr>
          <w:p w:rsidR="00312603" w:rsidRDefault="00312603">
            <w:r>
              <w:t xml:space="preserve">note that angina not significant in univariate analysis but significant in logistic regression, and visa versa for MI/Q waves ?represents effect of order of entry into multivariate analysis </w:t>
            </w:r>
          </w:p>
          <w:p w:rsidR="00312603" w:rsidRDefault="00312603"/>
        </w:tc>
      </w:tr>
      <w:tr w:rsidR="00312603">
        <w:tblPrEx>
          <w:tblCellMar>
            <w:top w:w="0" w:type="dxa"/>
            <w:bottom w:w="0" w:type="dxa"/>
          </w:tblCellMar>
        </w:tblPrEx>
        <w:tc>
          <w:tcPr>
            <w:tcW w:w="1476" w:type="dxa"/>
          </w:tcPr>
          <w:p w:rsidR="00312603" w:rsidRDefault="00312603">
            <w:pPr>
              <w:rPr>
                <w:b/>
              </w:rPr>
            </w:pPr>
            <w:r>
              <w:rPr>
                <w:b/>
              </w:rPr>
              <w:t>Thallium variable</w:t>
            </w:r>
          </w:p>
        </w:tc>
        <w:tc>
          <w:tcPr>
            <w:tcW w:w="1751" w:type="dxa"/>
          </w:tcPr>
          <w:p w:rsidR="00312603" w:rsidRDefault="00312603">
            <w:pPr>
              <w:rPr>
                <w:b/>
              </w:rPr>
            </w:pPr>
          </w:p>
        </w:tc>
        <w:tc>
          <w:tcPr>
            <w:tcW w:w="3260" w:type="dxa"/>
          </w:tcPr>
          <w:p w:rsidR="00312603" w:rsidRDefault="00312603">
            <w:pPr>
              <w:rPr>
                <w:b/>
              </w:rPr>
            </w:pPr>
          </w:p>
        </w:tc>
      </w:tr>
      <w:tr w:rsidR="00312603">
        <w:tblPrEx>
          <w:tblCellMar>
            <w:top w:w="0" w:type="dxa"/>
            <w:bottom w:w="0" w:type="dxa"/>
          </w:tblCellMar>
        </w:tblPrEx>
        <w:tc>
          <w:tcPr>
            <w:tcW w:w="1476" w:type="dxa"/>
          </w:tcPr>
          <w:p w:rsidR="00312603" w:rsidRDefault="00312603">
            <w:pPr>
              <w:rPr>
                <w:b/>
                <w:i/>
              </w:rPr>
            </w:pPr>
            <w:r>
              <w:rPr>
                <w:b/>
                <w:i/>
              </w:rPr>
              <w:t>fixed defects</w:t>
            </w:r>
          </w:p>
        </w:tc>
        <w:tc>
          <w:tcPr>
            <w:tcW w:w="1751" w:type="dxa"/>
          </w:tcPr>
          <w:p w:rsidR="00312603" w:rsidRDefault="00312603">
            <w:pPr>
              <w:rPr>
                <w:b/>
                <w:i/>
              </w:rPr>
            </w:pPr>
            <w:r>
              <w:rPr>
                <w:b/>
                <w:i/>
              </w:rPr>
              <w:t>0.823</w:t>
            </w:r>
          </w:p>
        </w:tc>
        <w:tc>
          <w:tcPr>
            <w:tcW w:w="3260" w:type="dxa"/>
          </w:tcPr>
          <w:p w:rsidR="00312603" w:rsidRDefault="00312603">
            <w:pPr>
              <w:rPr>
                <w:b/>
                <w:i/>
              </w:rPr>
            </w:pPr>
            <w:r>
              <w:rPr>
                <w:b/>
                <w:i/>
              </w:rPr>
              <w:t>0.015</w:t>
            </w:r>
          </w:p>
        </w:tc>
      </w:tr>
      <w:tr w:rsidR="00312603">
        <w:tblPrEx>
          <w:tblCellMar>
            <w:top w:w="0" w:type="dxa"/>
            <w:bottom w:w="0" w:type="dxa"/>
          </w:tblCellMar>
        </w:tblPrEx>
        <w:tc>
          <w:tcPr>
            <w:tcW w:w="1476" w:type="dxa"/>
          </w:tcPr>
          <w:p w:rsidR="00312603" w:rsidRDefault="00312603">
            <w:pPr>
              <w:rPr>
                <w:b/>
                <w:i/>
              </w:rPr>
            </w:pPr>
            <w:r>
              <w:rPr>
                <w:b/>
                <w:i/>
              </w:rPr>
              <w:t>reversible defects</w:t>
            </w:r>
          </w:p>
        </w:tc>
        <w:tc>
          <w:tcPr>
            <w:tcW w:w="1751" w:type="dxa"/>
          </w:tcPr>
          <w:p w:rsidR="00312603" w:rsidRDefault="00312603">
            <w:pPr>
              <w:rPr>
                <w:b/>
                <w:i/>
              </w:rPr>
            </w:pPr>
            <w:r>
              <w:rPr>
                <w:b/>
                <w:i/>
              </w:rPr>
              <w:t>1.329</w:t>
            </w:r>
          </w:p>
        </w:tc>
        <w:tc>
          <w:tcPr>
            <w:tcW w:w="3260" w:type="dxa"/>
          </w:tcPr>
          <w:p w:rsidR="00312603" w:rsidRDefault="00312603">
            <w:pPr>
              <w:rPr>
                <w:b/>
                <w:i/>
              </w:rPr>
            </w:pPr>
            <w:r>
              <w:rPr>
                <w:b/>
                <w:i/>
              </w:rPr>
              <w:t>0.0001</w:t>
            </w:r>
          </w:p>
        </w:tc>
      </w:tr>
      <w:tr w:rsidR="00312603">
        <w:tblPrEx>
          <w:tblCellMar>
            <w:top w:w="0" w:type="dxa"/>
            <w:bottom w:w="0" w:type="dxa"/>
          </w:tblCellMar>
        </w:tblPrEx>
        <w:tc>
          <w:tcPr>
            <w:tcW w:w="1476" w:type="dxa"/>
          </w:tcPr>
          <w:p w:rsidR="00312603" w:rsidRDefault="00312603">
            <w:pPr>
              <w:rPr>
                <w:b/>
                <w:i/>
              </w:rPr>
            </w:pPr>
            <w:r>
              <w:rPr>
                <w:b/>
                <w:i/>
              </w:rPr>
              <w:t>ischaemic ST changes</w:t>
            </w:r>
          </w:p>
        </w:tc>
        <w:tc>
          <w:tcPr>
            <w:tcW w:w="1751" w:type="dxa"/>
          </w:tcPr>
          <w:p w:rsidR="00312603" w:rsidRDefault="00312603">
            <w:pPr>
              <w:rPr>
                <w:b/>
                <w:i/>
              </w:rPr>
            </w:pPr>
            <w:r>
              <w:rPr>
                <w:b/>
                <w:i/>
              </w:rPr>
              <w:t>1.234</w:t>
            </w:r>
          </w:p>
        </w:tc>
        <w:tc>
          <w:tcPr>
            <w:tcW w:w="3260" w:type="dxa"/>
          </w:tcPr>
          <w:p w:rsidR="00312603" w:rsidRDefault="00312603">
            <w:pPr>
              <w:rPr>
                <w:b/>
                <w:i/>
              </w:rPr>
            </w:pPr>
            <w:r>
              <w:rPr>
                <w:b/>
                <w:i/>
              </w:rPr>
              <w:t>0.001</w:t>
            </w:r>
          </w:p>
        </w:tc>
      </w:tr>
    </w:tbl>
    <w:p w:rsidR="00312603" w:rsidRDefault="00312603"/>
    <w:p w:rsidR="00312603" w:rsidRDefault="00312603">
      <w:r>
        <w:t>Also note that type of vascular surgery influences risk as well in this study, event rates for carotid and aortic surgery = 6% but for for infraninguinal surgery event rate was 10%.  In editorial says this probable is a reflection of severity of coronary disease and not a reflection of the operation, ie those needing infrainguinal surgery for PVD are more likely to have more sever cad than those needing aortic or carotid surgery.</w:t>
      </w:r>
    </w:p>
    <w:p w:rsidR="00312603" w:rsidRDefault="00312603"/>
    <w:p w:rsidR="00312603" w:rsidRDefault="00312603">
      <w:r>
        <w:t>Clinical risk score= addition of scores for angina, diabetes and prior cabg, and strangly for nonsignificant risk factors as well.</w:t>
      </w:r>
    </w:p>
    <w:p w:rsidR="00312603" w:rsidRDefault="00312603"/>
    <w:p w:rsidR="00312603" w:rsidRDefault="00312603">
      <w:r>
        <w:t>Thallium score= addition of scores for all three variables.</w:t>
      </w:r>
    </w:p>
    <w:p w:rsidR="00312603" w:rsidRDefault="00312603"/>
    <w:p w:rsidR="00312603" w:rsidRDefault="00312603">
      <w:r>
        <w:t xml:space="preserve">WOULD first calculate clinical risk score and then determine clinical risk, then decide of thallium scan needed- adjust risk depending on results. </w:t>
      </w:r>
    </w:p>
    <w:p w:rsidR="00312603" w:rsidRDefault="00312603"/>
    <w:p w:rsidR="00312603" w:rsidRDefault="00312603">
      <w:r>
        <w:t>To use the risk tables one has to first find out the pretest risk ie the overall institutional overall risk, then the clinical score is used to determine the particular patient’s risk, eg for an institutional risk of 8%:</w:t>
      </w:r>
    </w:p>
    <w:p w:rsidR="00312603" w:rsidRDefault="00312603"/>
    <w:p w:rsidR="00312603" w:rsidRDefault="00312603">
      <w:r>
        <w:t>Without thallium score:</w:t>
      </w:r>
    </w:p>
    <w:p w:rsidR="00312603" w:rsidRDefault="00312603"/>
    <w:tbl>
      <w:tblPr>
        <w:tblW w:w="0" w:type="auto"/>
        <w:tblLayout w:type="fixed"/>
        <w:tblLook w:val="0000" w:firstRow="0" w:lastRow="0" w:firstColumn="0" w:lastColumn="0" w:noHBand="0" w:noVBand="0"/>
      </w:tblPr>
      <w:tblGrid>
        <w:gridCol w:w="1809"/>
        <w:gridCol w:w="3402"/>
      </w:tblGrid>
      <w:tr w:rsidR="00312603">
        <w:tblPrEx>
          <w:tblCellMar>
            <w:top w:w="0" w:type="dxa"/>
            <w:bottom w:w="0" w:type="dxa"/>
          </w:tblCellMar>
        </w:tblPrEx>
        <w:tc>
          <w:tcPr>
            <w:tcW w:w="1809" w:type="dxa"/>
          </w:tcPr>
          <w:p w:rsidR="00312603" w:rsidRDefault="00312603">
            <w:r>
              <w:t>Clinical risk score</w:t>
            </w:r>
          </w:p>
        </w:tc>
        <w:tc>
          <w:tcPr>
            <w:tcW w:w="3402" w:type="dxa"/>
          </w:tcPr>
          <w:p w:rsidR="00312603" w:rsidRDefault="00312603">
            <w:r>
              <w:t>post-test complication rate   %</w:t>
            </w:r>
          </w:p>
        </w:tc>
      </w:tr>
      <w:tr w:rsidR="00312603">
        <w:tblPrEx>
          <w:tblCellMar>
            <w:top w:w="0" w:type="dxa"/>
            <w:bottom w:w="0" w:type="dxa"/>
          </w:tblCellMar>
        </w:tblPrEx>
        <w:tc>
          <w:tcPr>
            <w:tcW w:w="1809" w:type="dxa"/>
          </w:tcPr>
          <w:p w:rsidR="00312603" w:rsidRDefault="00312603">
            <w:r>
              <w:t>0-</w:t>
            </w:r>
          </w:p>
        </w:tc>
        <w:tc>
          <w:tcPr>
            <w:tcW w:w="3402" w:type="dxa"/>
          </w:tcPr>
          <w:p w:rsidR="00312603" w:rsidRDefault="00312603">
            <w:r>
              <w:t>4</w:t>
            </w:r>
          </w:p>
        </w:tc>
      </w:tr>
      <w:tr w:rsidR="00312603">
        <w:tblPrEx>
          <w:tblCellMar>
            <w:top w:w="0" w:type="dxa"/>
            <w:bottom w:w="0" w:type="dxa"/>
          </w:tblCellMar>
        </w:tblPrEx>
        <w:tc>
          <w:tcPr>
            <w:tcW w:w="1809" w:type="dxa"/>
          </w:tcPr>
          <w:p w:rsidR="00312603" w:rsidRDefault="00312603">
            <w:r>
              <w:t>0.5</w:t>
            </w:r>
          </w:p>
        </w:tc>
        <w:tc>
          <w:tcPr>
            <w:tcW w:w="3402" w:type="dxa"/>
          </w:tcPr>
          <w:p w:rsidR="00312603" w:rsidRDefault="00312603">
            <w:r>
              <w:t>4</w:t>
            </w:r>
          </w:p>
        </w:tc>
      </w:tr>
      <w:tr w:rsidR="00312603">
        <w:tblPrEx>
          <w:tblCellMar>
            <w:top w:w="0" w:type="dxa"/>
            <w:bottom w:w="0" w:type="dxa"/>
          </w:tblCellMar>
        </w:tblPrEx>
        <w:tc>
          <w:tcPr>
            <w:tcW w:w="1809" w:type="dxa"/>
          </w:tcPr>
          <w:p w:rsidR="00312603" w:rsidRDefault="00312603">
            <w:r>
              <w:t>&gt;0.5-</w:t>
            </w:r>
          </w:p>
        </w:tc>
        <w:tc>
          <w:tcPr>
            <w:tcW w:w="3402" w:type="dxa"/>
          </w:tcPr>
          <w:p w:rsidR="00312603" w:rsidRDefault="00312603">
            <w:r>
              <w:t>6</w:t>
            </w:r>
          </w:p>
        </w:tc>
      </w:tr>
      <w:tr w:rsidR="00312603">
        <w:tblPrEx>
          <w:tblCellMar>
            <w:top w:w="0" w:type="dxa"/>
            <w:bottom w:w="0" w:type="dxa"/>
          </w:tblCellMar>
        </w:tblPrEx>
        <w:tc>
          <w:tcPr>
            <w:tcW w:w="1809" w:type="dxa"/>
          </w:tcPr>
          <w:p w:rsidR="00312603" w:rsidRDefault="00312603">
            <w:r>
              <w:t>1.0</w:t>
            </w:r>
          </w:p>
        </w:tc>
        <w:tc>
          <w:tcPr>
            <w:tcW w:w="3402" w:type="dxa"/>
          </w:tcPr>
          <w:p w:rsidR="00312603" w:rsidRDefault="00312603">
            <w:r>
              <w:t>7</w:t>
            </w:r>
          </w:p>
        </w:tc>
      </w:tr>
      <w:tr w:rsidR="00312603">
        <w:tblPrEx>
          <w:tblCellMar>
            <w:top w:w="0" w:type="dxa"/>
            <w:bottom w:w="0" w:type="dxa"/>
          </w:tblCellMar>
        </w:tblPrEx>
        <w:tc>
          <w:tcPr>
            <w:tcW w:w="1809" w:type="dxa"/>
          </w:tcPr>
          <w:p w:rsidR="00312603" w:rsidRDefault="00312603">
            <w:r>
              <w:t>&gt;1.0-</w:t>
            </w:r>
          </w:p>
        </w:tc>
        <w:tc>
          <w:tcPr>
            <w:tcW w:w="3402" w:type="dxa"/>
          </w:tcPr>
          <w:p w:rsidR="00312603" w:rsidRDefault="00312603">
            <w:r>
              <w:t>10</w:t>
            </w:r>
          </w:p>
        </w:tc>
      </w:tr>
      <w:tr w:rsidR="00312603">
        <w:tblPrEx>
          <w:tblCellMar>
            <w:top w:w="0" w:type="dxa"/>
            <w:bottom w:w="0" w:type="dxa"/>
          </w:tblCellMar>
        </w:tblPrEx>
        <w:tc>
          <w:tcPr>
            <w:tcW w:w="1809" w:type="dxa"/>
          </w:tcPr>
          <w:p w:rsidR="00312603" w:rsidRDefault="00312603">
            <w:r>
              <w:t>1.5</w:t>
            </w:r>
          </w:p>
        </w:tc>
        <w:tc>
          <w:tcPr>
            <w:tcW w:w="3402" w:type="dxa"/>
          </w:tcPr>
          <w:p w:rsidR="00312603" w:rsidRDefault="00312603">
            <w:r>
              <w:t>15</w:t>
            </w:r>
          </w:p>
        </w:tc>
      </w:tr>
      <w:tr w:rsidR="00312603">
        <w:tblPrEx>
          <w:tblCellMar>
            <w:top w:w="0" w:type="dxa"/>
            <w:bottom w:w="0" w:type="dxa"/>
          </w:tblCellMar>
        </w:tblPrEx>
        <w:tc>
          <w:tcPr>
            <w:tcW w:w="1809" w:type="dxa"/>
          </w:tcPr>
          <w:p w:rsidR="00312603" w:rsidRDefault="00312603">
            <w:r>
              <w:t>&gt;1.5-</w:t>
            </w:r>
          </w:p>
        </w:tc>
        <w:tc>
          <w:tcPr>
            <w:tcW w:w="3402" w:type="dxa"/>
          </w:tcPr>
          <w:p w:rsidR="00312603" w:rsidRDefault="00312603">
            <w:r>
              <w:t>16</w:t>
            </w:r>
          </w:p>
        </w:tc>
      </w:tr>
      <w:tr w:rsidR="00312603">
        <w:tblPrEx>
          <w:tblCellMar>
            <w:top w:w="0" w:type="dxa"/>
            <w:bottom w:w="0" w:type="dxa"/>
          </w:tblCellMar>
        </w:tblPrEx>
        <w:tc>
          <w:tcPr>
            <w:tcW w:w="1809" w:type="dxa"/>
          </w:tcPr>
          <w:p w:rsidR="00312603" w:rsidRDefault="00312603">
            <w:r>
              <w:t>2.0</w:t>
            </w:r>
          </w:p>
        </w:tc>
        <w:tc>
          <w:tcPr>
            <w:tcW w:w="3402" w:type="dxa"/>
          </w:tcPr>
          <w:p w:rsidR="00312603" w:rsidRDefault="00312603">
            <w:r>
              <w:t>22</w:t>
            </w:r>
          </w:p>
        </w:tc>
      </w:tr>
      <w:tr w:rsidR="00312603">
        <w:tblPrEx>
          <w:tblCellMar>
            <w:top w:w="0" w:type="dxa"/>
            <w:bottom w:w="0" w:type="dxa"/>
          </w:tblCellMar>
        </w:tblPrEx>
        <w:tc>
          <w:tcPr>
            <w:tcW w:w="1809" w:type="dxa"/>
          </w:tcPr>
          <w:p w:rsidR="00312603" w:rsidRDefault="00312603">
            <w:r>
              <w:t>&gt;2.0-</w:t>
            </w:r>
          </w:p>
        </w:tc>
        <w:tc>
          <w:tcPr>
            <w:tcW w:w="3402" w:type="dxa"/>
          </w:tcPr>
          <w:p w:rsidR="00312603" w:rsidRDefault="00312603">
            <w:r>
              <w:t>24</w:t>
            </w:r>
          </w:p>
        </w:tc>
      </w:tr>
      <w:tr w:rsidR="00312603">
        <w:tblPrEx>
          <w:tblCellMar>
            <w:top w:w="0" w:type="dxa"/>
            <w:bottom w:w="0" w:type="dxa"/>
          </w:tblCellMar>
        </w:tblPrEx>
        <w:tc>
          <w:tcPr>
            <w:tcW w:w="1809" w:type="dxa"/>
          </w:tcPr>
          <w:p w:rsidR="00312603" w:rsidRDefault="00312603">
            <w:r>
              <w:t>2.5</w:t>
            </w:r>
          </w:p>
        </w:tc>
        <w:tc>
          <w:tcPr>
            <w:tcW w:w="3402" w:type="dxa"/>
          </w:tcPr>
          <w:p w:rsidR="00312603" w:rsidRDefault="00312603">
            <w:r>
              <w:t>32</w:t>
            </w:r>
          </w:p>
        </w:tc>
      </w:tr>
      <w:tr w:rsidR="00312603">
        <w:tblPrEx>
          <w:tblCellMar>
            <w:top w:w="0" w:type="dxa"/>
            <w:bottom w:w="0" w:type="dxa"/>
          </w:tblCellMar>
        </w:tblPrEx>
        <w:tc>
          <w:tcPr>
            <w:tcW w:w="1809" w:type="dxa"/>
          </w:tcPr>
          <w:p w:rsidR="00312603" w:rsidRDefault="00312603">
            <w:r>
              <w:t>&gt;2.5-</w:t>
            </w:r>
          </w:p>
        </w:tc>
        <w:tc>
          <w:tcPr>
            <w:tcW w:w="3402" w:type="dxa"/>
          </w:tcPr>
          <w:p w:rsidR="00312603" w:rsidRDefault="00312603">
            <w:r>
              <w:t>34</w:t>
            </w:r>
          </w:p>
        </w:tc>
      </w:tr>
      <w:tr w:rsidR="00312603">
        <w:tblPrEx>
          <w:tblCellMar>
            <w:top w:w="0" w:type="dxa"/>
            <w:bottom w:w="0" w:type="dxa"/>
          </w:tblCellMar>
        </w:tblPrEx>
        <w:tc>
          <w:tcPr>
            <w:tcW w:w="1809" w:type="dxa"/>
          </w:tcPr>
          <w:p w:rsidR="00312603" w:rsidRDefault="00312603">
            <w:r>
              <w:t>3.0</w:t>
            </w:r>
          </w:p>
        </w:tc>
        <w:tc>
          <w:tcPr>
            <w:tcW w:w="3402" w:type="dxa"/>
          </w:tcPr>
          <w:p w:rsidR="00312603" w:rsidRDefault="00312603">
            <w:r>
              <w:t>43</w:t>
            </w:r>
          </w:p>
        </w:tc>
      </w:tr>
    </w:tbl>
    <w:p w:rsidR="00312603" w:rsidRDefault="00312603"/>
    <w:p w:rsidR="00312603" w:rsidRDefault="00312603">
      <w:r>
        <w:t>The table using thallium score is more complicated.</w:t>
      </w:r>
    </w:p>
    <w:p w:rsidR="00312603" w:rsidRDefault="00312603">
      <w:r>
        <w:t>_______________________________________________________</w:t>
      </w:r>
    </w:p>
    <w:p w:rsidR="00312603" w:rsidRDefault="00312603"/>
    <w:p w:rsidR="00312603" w:rsidRDefault="00312603">
      <w:r>
        <w:t>**Meta-analysis of intravenous dipyradamole-thallium-201 imaging (1985 to 1994) and dobutamine echocardiography (1991 to 1994) for risk stratification before vascular surgery, JACC 1996;27:787-98</w:t>
      </w:r>
    </w:p>
    <w:p w:rsidR="00312603" w:rsidRDefault="00312603"/>
    <w:p w:rsidR="00312603" w:rsidRDefault="00312603">
      <w:r>
        <w:t xml:space="preserve">A systemic review of the litrature identified 10 reports on dipyridamole perfusion scanning (1994 patients) and 5 on dobutamine stress echocardiography ((445 patients). </w:t>
      </w:r>
    </w:p>
    <w:p w:rsidR="00312603" w:rsidRDefault="00312603"/>
    <w:p w:rsidR="00312603" w:rsidRDefault="00312603">
      <w:r>
        <w:t>Summary odds ratios for death or myocardial infarction and secondary cardiac endpoints were greater for dobutamine stress echocardiography (14- to 27- fold); than for those with dipyridamole thallium 201 redistribution (4 fold); wider confidence limts were present for dobutamine stress echocardiography.</w:t>
      </w:r>
    </w:p>
    <w:p w:rsidR="00312603" w:rsidRDefault="00312603"/>
    <w:p w:rsidR="00312603" w:rsidRDefault="00312603">
      <w:r>
        <w:t xml:space="preserve">Pretest coronary disease probability was correlated with the positive predictive value of stress thallium defect (r=0.7), increasing 6 fold from low to high risk patients. </w:t>
      </w:r>
    </w:p>
    <w:p w:rsidR="00312603" w:rsidRDefault="00312603"/>
    <w:p w:rsidR="00312603" w:rsidRDefault="00312603">
      <w:r>
        <w:t>Cardiac events were low for patients without a history of cad (1% in 176 patients) compared with coronary disease and a normal or fixed perfusion defect (4.8% in 83 patients) or and one or more redistribution defect on thallium scanning (18.6% in 97 patients, p=0.0001).</w:t>
      </w:r>
    </w:p>
    <w:p w:rsidR="00312603" w:rsidRDefault="00312603"/>
    <w:p w:rsidR="00312603" w:rsidRDefault="00312603"/>
    <w:p w:rsidR="00312603" w:rsidRDefault="00312603"/>
    <w:p w:rsidR="00312603" w:rsidRDefault="00312603">
      <w:r>
        <w:t>Note that among those known cad, those with fixed perfusion defects do have a higher risk than those with normal perfusion scans.</w:t>
      </w:r>
    </w:p>
    <w:p w:rsidR="00312603" w:rsidRDefault="00312603"/>
    <w:p w:rsidR="00312603" w:rsidRDefault="00312603"/>
    <w:p w:rsidR="00312603" w:rsidRDefault="00312603">
      <w:r>
        <w:t xml:space="preserve">eg: 1994 had thallium stress test: </w:t>
      </w:r>
    </w:p>
    <w:p w:rsidR="00312603" w:rsidRDefault="00312603">
      <w:r>
        <w:t>among those with no reversible defect, those with a fixed defect had a cardiac event rate of 11.41% and those with normal perfusion scans had an event rate of 3.16%</w:t>
      </w:r>
    </w:p>
    <w:p w:rsidR="00312603" w:rsidRDefault="00312603">
      <w:r>
        <w:t>those with a reversible defect, of those who had cardiac revascularisation, event rates were 5.88% and those who did not had an event rate of 18.12%</w:t>
      </w:r>
    </w:p>
    <w:p w:rsidR="00312603" w:rsidRDefault="00312603"/>
    <w:p w:rsidR="00312603" w:rsidRDefault="00312603">
      <w:r>
        <w:t>eg: 445 had dobutamine stress echocardiography:</w:t>
      </w:r>
    </w:p>
    <w:p w:rsidR="00312603" w:rsidRDefault="00312603">
      <w:r>
        <w:t>of those who hadno dyssynergy, event rates was 0.37%</w:t>
      </w:r>
    </w:p>
    <w:p w:rsidR="00312603" w:rsidRDefault="00312603">
      <w:r>
        <w:t>of those who had new dyssynergy, small number had revasculaarisation and had nil events, of the others, cardiac event rates were 26.3%</w:t>
      </w:r>
    </w:p>
    <w:p w:rsidR="00312603" w:rsidRDefault="00312603"/>
    <w:p w:rsidR="00312603" w:rsidRDefault="00312603"/>
    <w:p w:rsidR="00312603" w:rsidRDefault="00312603">
      <w:r>
        <w:t>DOES this mean thallium scanning is too sensitive, that dobutamine stress echocardiogram is helpful because it only detects larger areas of ischaemia and that this may also have implications for assessing potential for improvement post CABG?</w:t>
      </w:r>
    </w:p>
    <w:p w:rsidR="00312603" w:rsidRDefault="00312603">
      <w:r>
        <w:t>_______________________________________________________</w:t>
      </w:r>
    </w:p>
    <w:p w:rsidR="00312603" w:rsidRDefault="00312603"/>
    <w:p w:rsidR="00312603" w:rsidRDefault="00312603">
      <w:r>
        <w:t>**Editorial comment: Cardiac risk and vascular surgery, JACC 1996;27:799-</w:t>
      </w:r>
    </w:p>
    <w:p w:rsidR="00312603" w:rsidRDefault="00312603"/>
    <w:p w:rsidR="00312603" w:rsidRDefault="00312603">
      <w:r>
        <w:t>Excellent editorial, note talks about ROC curves, sayind area under curve between 0.7 to 0.8 is good and anything above is excellent.</w:t>
      </w:r>
    </w:p>
    <w:p w:rsidR="00312603" w:rsidRDefault="00312603"/>
    <w:p w:rsidR="00312603" w:rsidRDefault="00312603">
      <w:r>
        <w:t>Also says that the original cardiac risk index had ROC areas of 0.81 ans 0.77 respectively when tested prospectively ie as good as thallium study reported in this issue of the journal. ie the sequential testing used in the thallium study was not as good as the ooriginal cardiac risk index.</w:t>
      </w:r>
    </w:p>
    <w:p w:rsidR="00312603" w:rsidRDefault="00312603"/>
    <w:p w:rsidR="00312603" w:rsidRDefault="00312603">
      <w:r>
        <w:t>Saya that there continues to be doubt. Goldman’s feeling is that the 3 forms of noninvasive testing all add incremental value, the three tests he refers to are stress thallium scanning, dobutamine stress echocardiogram and ambulatory ST segment monitoring.</w:t>
      </w:r>
    </w:p>
    <w:p w:rsidR="00312603" w:rsidRDefault="00312603"/>
    <w:p w:rsidR="00312603" w:rsidRDefault="00312603">
      <w:r>
        <w:t>Low risk patients remain at low risk post- testing. Says that existing data still leaves doubt on how to treat those at high risk (before or after testing)- do not know for sure that preoperative revascularisation will prevent cardiac events. Mentions the fact that infarction seems to occur on mild lesions (this seems to have been accepted but I am not entirely convinced- must be an area for future analysis). BUT also saya that there seems to be good evidence to believe that those with pvd usually die of cad, thus should revascularise those that meet criteria for prognostic benefit.</w:t>
      </w:r>
    </w:p>
    <w:p w:rsidR="00312603" w:rsidRDefault="00312603"/>
    <w:p w:rsidR="00312603" w:rsidRDefault="00312603">
      <w:r>
        <w:t>CASS reg data seems to say that the combined outcome of CABG plus peripheral surgery not lower than peripheral surgery alone. (Ann of Thorac Surg 1986;41:42-50)</w:t>
      </w:r>
    </w:p>
    <w:p w:rsidR="00312603" w:rsidRDefault="00312603"/>
    <w:p w:rsidR="00312603" w:rsidRDefault="00312603">
      <w:r>
        <w:t xml:space="preserve"> </w:t>
      </w:r>
    </w:p>
    <w:p w:rsidR="00312603" w:rsidRDefault="00312603">
      <w:pPr>
        <w:rPr>
          <w:rFonts w:ascii="NLQII 10cpi" w:hAnsi="NLQII 10cpi"/>
        </w:rPr>
      </w:pPr>
    </w:p>
    <w:p w:rsidR="00312603" w:rsidRDefault="00312603">
      <w:pPr>
        <w:rPr>
          <w:rFonts w:ascii="NLQII 10cpi" w:hAnsi="NLQII 10cpi"/>
        </w:rPr>
      </w:pPr>
    </w:p>
    <w:p w:rsidR="00312603" w:rsidRDefault="00312603">
      <w:pPr>
        <w:rPr>
          <w:rFonts w:ascii="NLQII 10cpi" w:hAnsi="NLQII 10cpi"/>
        </w:rPr>
      </w:pPr>
    </w:p>
    <w:p w:rsidR="00312603" w:rsidRDefault="00312603">
      <w:pPr>
        <w:rPr>
          <w:rFonts w:ascii="NLQII 10cpi" w:hAnsi="NLQII 10cpi"/>
        </w:rPr>
      </w:pPr>
      <w:r>
        <w:rPr>
          <w:rFonts w:ascii="NLQII 10cpi" w:hAnsi="NLQII 10cpi"/>
        </w:rPr>
        <w:t>_______________________________________________________</w:t>
      </w:r>
    </w:p>
    <w:p w:rsidR="00312603" w:rsidRDefault="00312603">
      <w:pPr>
        <w:rPr>
          <w:b/>
        </w:rPr>
      </w:pPr>
    </w:p>
    <w:p w:rsidR="00312603" w:rsidRDefault="00312603">
      <w:pPr>
        <w:pStyle w:val="Heading2"/>
      </w:pPr>
      <w:r>
        <w:t>Predictive value of dobutamine echo in assigning risk</w:t>
      </w:r>
    </w:p>
    <w:p w:rsidR="00312603" w:rsidRDefault="00312603">
      <w:pPr>
        <w:rPr>
          <w:b/>
        </w:rPr>
      </w:pPr>
    </w:p>
    <w:p w:rsidR="00312603" w:rsidRDefault="00312603">
      <w:pPr>
        <w:pBdr>
          <w:bottom w:val="single" w:sz="6" w:space="1" w:color="auto"/>
        </w:pBdr>
      </w:pPr>
    </w:p>
    <w:p w:rsidR="00312603" w:rsidRDefault="00312603"/>
    <w:p w:rsidR="00312603" w:rsidRDefault="00312603">
      <w:pPr>
        <w:autoSpaceDE w:val="0"/>
        <w:autoSpaceDN w:val="0"/>
        <w:adjustRightInd w:val="0"/>
        <w:rPr>
          <w:szCs w:val="52"/>
          <w:lang w:val="en-US"/>
        </w:rPr>
      </w:pPr>
      <w:r>
        <w:rPr>
          <w:szCs w:val="52"/>
          <w:lang w:val="en-US"/>
        </w:rPr>
        <w:t>Predictors of Cardiac Events After Major Vascular Surgery</w:t>
      </w:r>
    </w:p>
    <w:p w:rsidR="00312603" w:rsidRDefault="00312603">
      <w:pPr>
        <w:autoSpaceDE w:val="0"/>
        <w:autoSpaceDN w:val="0"/>
        <w:adjustRightInd w:val="0"/>
        <w:rPr>
          <w:szCs w:val="40"/>
          <w:lang w:val="en-US"/>
        </w:rPr>
      </w:pPr>
      <w:r>
        <w:rPr>
          <w:szCs w:val="40"/>
          <w:lang w:val="en-US"/>
        </w:rPr>
        <w:t>Role of Clinical Characteristics, Dobutamine Echocardiography, and b-Blocker Therapy</w:t>
      </w:r>
    </w:p>
    <w:p w:rsidR="00312603" w:rsidRDefault="00312603">
      <w:pPr>
        <w:autoSpaceDE w:val="0"/>
        <w:autoSpaceDN w:val="0"/>
        <w:adjustRightInd w:val="0"/>
        <w:rPr>
          <w:color w:val="000080"/>
          <w:lang w:val="en-US"/>
        </w:rPr>
      </w:pPr>
      <w:hyperlink r:id="rId16" w:history="1">
        <w:r>
          <w:rPr>
            <w:rStyle w:val="Hyperlink"/>
            <w:color w:val="000080"/>
            <w:lang w:val="en-US"/>
          </w:rPr>
          <w:t>IHD stress echo</w:t>
        </w:r>
        <w:r>
          <w:rPr>
            <w:rStyle w:val="Hyperlink"/>
            <w:color w:val="000080"/>
            <w:lang w:val="en-US"/>
          </w:rPr>
          <w:t xml:space="preserve"> </w:t>
        </w:r>
        <w:r>
          <w:rPr>
            <w:rStyle w:val="Hyperlink"/>
            <w:color w:val="000080"/>
            <w:lang w:val="en-US"/>
          </w:rPr>
          <w:t>noncardiac surgery risk.pdf</w:t>
        </w:r>
      </w:hyperlink>
    </w:p>
    <w:p w:rsidR="00312603" w:rsidRDefault="00312603">
      <w:pPr>
        <w:autoSpaceDE w:val="0"/>
        <w:autoSpaceDN w:val="0"/>
        <w:adjustRightInd w:val="0"/>
        <w:rPr>
          <w:szCs w:val="18"/>
          <w:lang w:val="en-US"/>
        </w:rPr>
      </w:pPr>
      <w:r>
        <w:rPr>
          <w:szCs w:val="18"/>
          <w:lang w:val="en-US"/>
        </w:rPr>
        <w:t>Conclusion The additional predictive value of DSE is limited in clinically low-risk patients</w:t>
      </w:r>
    </w:p>
    <w:p w:rsidR="00312603" w:rsidRDefault="00312603">
      <w:pPr>
        <w:autoSpaceDE w:val="0"/>
        <w:autoSpaceDN w:val="0"/>
        <w:adjustRightInd w:val="0"/>
        <w:rPr>
          <w:szCs w:val="18"/>
          <w:lang w:val="en-US"/>
        </w:rPr>
      </w:pPr>
      <w:r>
        <w:rPr>
          <w:szCs w:val="18"/>
          <w:lang w:val="en-US"/>
        </w:rPr>
        <w:t>receiving b-blockers. In clinical practice, DSE may be avoided in a large number of</w:t>
      </w:r>
    </w:p>
    <w:p w:rsidR="00312603" w:rsidRDefault="00312603">
      <w:pPr>
        <w:autoSpaceDE w:val="0"/>
        <w:autoSpaceDN w:val="0"/>
        <w:adjustRightInd w:val="0"/>
        <w:rPr>
          <w:szCs w:val="18"/>
          <w:lang w:val="en-US"/>
        </w:rPr>
      </w:pPr>
      <w:r>
        <w:rPr>
          <w:szCs w:val="18"/>
          <w:lang w:val="en-US"/>
        </w:rPr>
        <w:t>patients who can proceed safely for surgery without delay. In clinically intermediate- and</w:t>
      </w:r>
    </w:p>
    <w:p w:rsidR="00312603" w:rsidRDefault="00312603">
      <w:pPr>
        <w:autoSpaceDE w:val="0"/>
        <w:autoSpaceDN w:val="0"/>
        <w:adjustRightInd w:val="0"/>
        <w:rPr>
          <w:szCs w:val="18"/>
          <w:lang w:val="en-US"/>
        </w:rPr>
      </w:pPr>
      <w:r>
        <w:rPr>
          <w:szCs w:val="18"/>
          <w:lang w:val="en-US"/>
        </w:rPr>
        <w:t>high-risk patients receiving b-blockers, DSE may help identify those in whom surgery can</w:t>
      </w:r>
    </w:p>
    <w:p w:rsidR="00312603" w:rsidRDefault="00312603">
      <w:pPr>
        <w:autoSpaceDE w:val="0"/>
        <w:autoSpaceDN w:val="0"/>
        <w:adjustRightInd w:val="0"/>
        <w:rPr>
          <w:szCs w:val="18"/>
          <w:lang w:val="en-US"/>
        </w:rPr>
      </w:pPr>
      <w:r>
        <w:rPr>
          <w:szCs w:val="18"/>
          <w:lang w:val="en-US"/>
        </w:rPr>
        <w:t>still be performed and those in whom cardiac revascularization should be considered.</w:t>
      </w:r>
    </w:p>
    <w:p w:rsidR="00312603" w:rsidRDefault="00312603">
      <w:pPr>
        <w:rPr>
          <w:szCs w:val="40"/>
          <w:lang w:val="en-US"/>
        </w:rPr>
      </w:pPr>
      <w:r>
        <w:rPr>
          <w:iCs/>
          <w:szCs w:val="14"/>
          <w:lang w:val="en-US"/>
        </w:rPr>
        <w:t>JAMA. 2001;285:1865-1873</w:t>
      </w:r>
    </w:p>
    <w:p w:rsidR="00312603" w:rsidRDefault="00312603">
      <w:pPr>
        <w:pBdr>
          <w:bottom w:val="single" w:sz="6" w:space="1" w:color="auto"/>
        </w:pBdr>
        <w:rPr>
          <w:szCs w:val="40"/>
          <w:lang w:val="en-US"/>
        </w:rPr>
      </w:pPr>
    </w:p>
    <w:p w:rsidR="00312603" w:rsidRDefault="00312603"/>
    <w:p w:rsidR="00312603" w:rsidRDefault="00312603"/>
    <w:p w:rsidR="00312603" w:rsidRDefault="00312603">
      <w:r>
        <w:t>Dobutamine stress echocardiography for assessment of preoperative cardiac risk in patients undergoing major vascular surgery, Circulation 1993;87:1506-1512</w:t>
      </w:r>
    </w:p>
    <w:p w:rsidR="00312603" w:rsidRDefault="00312603"/>
    <w:p w:rsidR="00312603" w:rsidRDefault="00312603">
      <w:r>
        <w:t>136 patients scheduled for vascular surgery, ie already screened group. Results of dobutamine test not available to surgeons. Technically adequate in 134/136, all but 5 tolerated maximal dose. 35 had positive test (new wall motion abnormality (NWMA).</w:t>
      </w:r>
    </w:p>
    <w:p w:rsidR="00312603" w:rsidRDefault="00312603"/>
    <w:p w:rsidR="00312603" w:rsidRDefault="00312603">
      <w:r>
        <w:t>15 patients had cardiac complications. All of these had positive dobutamine stess echo (positive predictive value 42%, negative predictive value 100%). 5 had fatal MI (3.8% of all patients, 14% of those with positive dobutamine stress echo).</w:t>
      </w:r>
    </w:p>
    <w:p w:rsidR="00312603" w:rsidRDefault="00312603"/>
    <w:p w:rsidR="00312603" w:rsidRDefault="00312603">
      <w:r>
        <w:t>Of clinical variables only angina and history of myocardial infarction were predictive of cardiac complication (OR 4 to 5). Clinical risk factors for IHD were not helpful. NWMA was the most useful (OR72).</w:t>
      </w:r>
    </w:p>
    <w:p w:rsidR="00312603" w:rsidRDefault="00312603"/>
    <w:p w:rsidR="00312603" w:rsidRDefault="00312603">
      <w:r>
        <w:t xml:space="preserve">Clinical scoring system was not useful. MIs occured day 3-7, unstable angina occured day 1-3. </w:t>
      </w:r>
    </w:p>
    <w:p w:rsidR="00312603" w:rsidRDefault="00312603"/>
    <w:p w:rsidR="00312603" w:rsidRDefault="00312603">
      <w:r>
        <w:t>On multivariate analysis only age and NWMA were independently predictive.</w:t>
      </w:r>
    </w:p>
    <w:p w:rsidR="00312603" w:rsidRDefault="00312603">
      <w:r>
        <w:t>_____________________________________________</w:t>
      </w:r>
    </w:p>
    <w:p w:rsidR="00312603" w:rsidRDefault="00312603"/>
    <w:p w:rsidR="00312603" w:rsidRDefault="00312603">
      <w:r>
        <w:t>Predictive value of dobutamine echocardiography just before noncardiac vascular surgery, Am J Cardiol 1993;72:602-607</w:t>
      </w:r>
    </w:p>
    <w:p w:rsidR="00312603" w:rsidRDefault="00312603"/>
    <w:p w:rsidR="00312603" w:rsidRDefault="00312603">
      <w:r>
        <w:t>75 patients studied prospectively.</w:t>
      </w:r>
    </w:p>
    <w:p w:rsidR="00312603" w:rsidRDefault="00312603">
      <w:r>
        <w:t>27/75 had a positive test, 5 had a perioperative event (3 unstable angina and 2 nonfatal infarction).</w:t>
      </w:r>
    </w:p>
    <w:p w:rsidR="00312603" w:rsidRDefault="00312603"/>
    <w:p w:rsidR="00312603" w:rsidRDefault="00312603">
      <w:r>
        <w:t>Positive predictive value: 19%</w:t>
      </w:r>
    </w:p>
    <w:p w:rsidR="00312603" w:rsidRDefault="00312603">
      <w:r>
        <w:t>Negative predictive value: 100%</w:t>
      </w:r>
    </w:p>
    <w:p w:rsidR="00312603" w:rsidRDefault="00312603">
      <w:r>
        <w:t>sensitivity:</w:t>
      </w:r>
      <w:r>
        <w:tab/>
      </w:r>
      <w:r>
        <w:tab/>
        <w:t>100%</w:t>
      </w:r>
    </w:p>
    <w:p w:rsidR="00312603" w:rsidRDefault="00312603">
      <w:r>
        <w:t>specificity:</w:t>
      </w:r>
      <w:r>
        <w:tab/>
      </w:r>
      <w:r>
        <w:tab/>
        <w:t xml:space="preserve"> 69%</w:t>
      </w:r>
    </w:p>
    <w:p w:rsidR="00312603" w:rsidRDefault="00312603"/>
    <w:p w:rsidR="00312603" w:rsidRDefault="00312603"/>
    <w:p w:rsidR="00312603" w:rsidRDefault="00312603">
      <w:r>
        <w:t>_____________________________________________</w:t>
      </w:r>
    </w:p>
    <w:p w:rsidR="00312603" w:rsidRDefault="00312603"/>
    <w:p w:rsidR="00312603" w:rsidRDefault="00312603">
      <w:r>
        <w:t>Dobutamine stress echocardiography predicts surgical outcome in patients with an aortic aneurysm and peripheral vascular disease, JACC 1993;21:957-63</w:t>
      </w:r>
    </w:p>
    <w:p w:rsidR="00312603" w:rsidRDefault="00312603"/>
    <w:p w:rsidR="00312603" w:rsidRDefault="00312603">
      <w:r>
        <w:t>An observational study: 93 studied, 70 normal response, 68 of 70 had uneventful surgery (2 refused surgery).</w:t>
      </w:r>
    </w:p>
    <w:p w:rsidR="00312603" w:rsidRDefault="00312603"/>
    <w:p w:rsidR="00312603" w:rsidRDefault="00312603">
      <w:r>
        <w:t>19/23 with positive test underwent coronary angiography and all had &gt;=50% luminal narrowing. 13 underwent CBG or PTCA &amp; then uneventful vascular surgery.  OF remaining 10, 4 had a perioperative event (2- MI;1-unstable angina;1-CHF).</w:t>
      </w:r>
    </w:p>
    <w:p w:rsidR="00312603" w:rsidRDefault="00312603"/>
    <w:p w:rsidR="00312603" w:rsidRDefault="00312603">
      <w:r>
        <w:t>_____________________________________________</w:t>
      </w:r>
    </w:p>
    <w:p w:rsidR="00312603" w:rsidRDefault="00312603"/>
    <w:p w:rsidR="00312603" w:rsidRDefault="00312603">
      <w:r>
        <w:t>Improved cardiac risk stratification in major vascular surgery with dobutamine-atropine stress echocardiography, JACC 1995;26:648-</w:t>
      </w:r>
    </w:p>
    <w:p w:rsidR="00312603" w:rsidRDefault="00312603"/>
    <w:p w:rsidR="00312603" w:rsidRDefault="00312603">
      <w:r>
        <w:t xml:space="preserve">302 scheduled for major vascular surgery were studied. </w:t>
      </w:r>
    </w:p>
    <w:p w:rsidR="00312603" w:rsidRDefault="00312603"/>
    <w:p w:rsidR="00312603" w:rsidRDefault="00312603">
      <w:r>
        <w:t xml:space="preserve">The absence of clinical risk factors (angina, diabetes, Q waves on ECG, symptomatic ventricular tachycardia, age &gt; 70 years) identified a low risk group of 100 patients with a 1% cardiac event rate (instable angina). </w:t>
      </w:r>
    </w:p>
    <w:p w:rsidR="00312603" w:rsidRDefault="00312603"/>
    <w:p w:rsidR="00312603" w:rsidRDefault="00312603">
      <w:r>
        <w:t>Dobutamine-atropine stress echocardiography findings were positive in 72 patients. 27 had a perioperative cardiac event (cardiac death in 5, nonfatal infarctiion in 12, unstable angina in 10); all 27 had positive stress echos (PPV 38%, NPV 100). The semiquantitiative assessment of severity of ischaemia did not provide additional prognostic information. But the heart rate at which ischaemia occured defined a high risk group with a low ischaemic threshold (38 patients with 20 events) and an intermediate risk group with a high ischaemic threshold (34 patients with 7 events).</w:t>
      </w:r>
    </w:p>
    <w:p w:rsidR="00312603" w:rsidRDefault="00312603"/>
    <w:p w:rsidR="00312603" w:rsidRDefault="00312603">
      <w:r>
        <w:t>All patients with a fatal outcome and 8/12 with a nonfatal MI were in the high risk grup with a low ischaemic threshold.</w:t>
      </w:r>
    </w:p>
    <w:p w:rsidR="00312603" w:rsidRDefault="00312603"/>
    <w:p w:rsidR="00312603" w:rsidRDefault="00312603">
      <w:r>
        <w:t>Says that may not need to study those without risk factors, those with -ve dobutamine stress echo can also have their op without further investigation, but those with +ve test with low iscaemic threshold may need further investigation and review of need for surgery but best management perioperatively is not certain.</w:t>
      </w:r>
    </w:p>
    <w:p w:rsidR="00312603" w:rsidRDefault="00312603"/>
    <w:p w:rsidR="00312603" w:rsidRDefault="00312603">
      <w:pPr>
        <w:rPr>
          <w:rFonts w:ascii="NLQII 10cpi" w:hAnsi="NLQII 10cpi"/>
        </w:rPr>
      </w:pPr>
      <w:r>
        <w:t>_______________________________________________________</w:t>
      </w:r>
    </w:p>
    <w:p w:rsidR="00312603" w:rsidRDefault="00312603">
      <w:pPr>
        <w:rPr>
          <w:b/>
        </w:rPr>
      </w:pPr>
    </w:p>
    <w:p w:rsidR="00312603" w:rsidRDefault="00312603">
      <w:pPr>
        <w:rPr>
          <w:b/>
        </w:rPr>
      </w:pPr>
    </w:p>
    <w:p w:rsidR="00312603" w:rsidRDefault="00312603">
      <w:pPr>
        <w:pStyle w:val="Heading2"/>
      </w:pPr>
      <w:r>
        <w:t>Strategies to reduce operative risk: Revascularisation</w:t>
      </w:r>
    </w:p>
    <w:p w:rsidR="00312603" w:rsidRDefault="00312603">
      <w:pPr>
        <w:rPr>
          <w:b/>
        </w:rPr>
      </w:pPr>
    </w:p>
    <w:p w:rsidR="00312603" w:rsidRDefault="00312603">
      <w:pPr>
        <w:rPr>
          <w:b/>
        </w:rPr>
      </w:pPr>
    </w:p>
    <w:p w:rsidR="00312603" w:rsidRDefault="00312603">
      <w:pPr>
        <w:pStyle w:val="Heading3"/>
      </w:pPr>
      <w:r>
        <w:t>Reviews</w:t>
      </w:r>
    </w:p>
    <w:p w:rsidR="00312603" w:rsidRDefault="00312603">
      <w:pPr>
        <w:rPr>
          <w:b/>
        </w:rPr>
      </w:pPr>
    </w:p>
    <w:p w:rsidR="00312603" w:rsidRDefault="00312603">
      <w:pPr>
        <w:rPr>
          <w:b/>
        </w:rPr>
      </w:pPr>
    </w:p>
    <w:p w:rsidR="00312603" w:rsidRDefault="00312603">
      <w:pPr>
        <w:rPr>
          <w:b/>
        </w:rPr>
      </w:pPr>
    </w:p>
    <w:p w:rsidR="00312603" w:rsidRDefault="00312603">
      <w:pPr>
        <w:rPr>
          <w:b/>
        </w:rPr>
      </w:pPr>
      <w:r>
        <w:rPr>
          <w:b/>
        </w:rPr>
        <w:t>State of the Art</w:t>
      </w:r>
    </w:p>
    <w:p w:rsidR="00312603" w:rsidRDefault="00312603">
      <w:pPr>
        <w:rPr>
          <w:b/>
          <w:bCs/>
        </w:rPr>
      </w:pPr>
      <w:r>
        <w:rPr>
          <w:b/>
          <w:bCs/>
        </w:rPr>
        <w:t>Perioperative Management of Patients With Coronary Stents</w:t>
      </w:r>
    </w:p>
    <w:p w:rsidR="00312603" w:rsidRDefault="00312603">
      <w:pPr>
        <w:rPr>
          <w:bCs/>
        </w:rPr>
      </w:pPr>
      <w:r>
        <w:rPr>
          <w:bCs/>
        </w:rPr>
        <w:t>Reviews some of the data on revacularisation before non-cardiac surgery and the data on risk of ealry surgery after PCI.</w:t>
      </w:r>
    </w:p>
    <w:p w:rsidR="00312603" w:rsidRDefault="00312603">
      <w:pPr>
        <w:rPr>
          <w:b/>
        </w:rPr>
      </w:pPr>
      <w:hyperlink r:id="rId17" w:history="1">
        <w:r>
          <w:rPr>
            <w:rStyle w:val="Hyperlink"/>
            <w:bCs/>
          </w:rPr>
          <w:t>JACC 2007</w:t>
        </w:r>
      </w:hyperlink>
    </w:p>
    <w:p w:rsidR="00312603" w:rsidRDefault="00312603">
      <w:pPr>
        <w:rPr>
          <w:b/>
        </w:rPr>
      </w:pPr>
    </w:p>
    <w:p w:rsidR="00312603" w:rsidRDefault="00312603">
      <w:pPr>
        <w:rPr>
          <w:b/>
        </w:rPr>
      </w:pPr>
    </w:p>
    <w:p w:rsidR="00312603" w:rsidRDefault="00312603">
      <w:pPr>
        <w:rPr>
          <w:b/>
        </w:rPr>
      </w:pPr>
    </w:p>
    <w:p w:rsidR="00312603" w:rsidRDefault="00312603">
      <w:pPr>
        <w:pStyle w:val="Heading3"/>
      </w:pPr>
      <w:r>
        <w:t>Randomised Trials</w:t>
      </w:r>
    </w:p>
    <w:p w:rsidR="00312603" w:rsidRDefault="00312603">
      <w:pPr>
        <w:pBdr>
          <w:bottom w:val="single" w:sz="6" w:space="1" w:color="auto"/>
        </w:pBdr>
        <w:rPr>
          <w:bCs/>
        </w:rPr>
      </w:pPr>
    </w:p>
    <w:p w:rsidR="00312603" w:rsidRDefault="00312603">
      <w:pPr>
        <w:pBdr>
          <w:bottom w:val="single" w:sz="6" w:space="1" w:color="auto"/>
        </w:pBdr>
        <w:rPr>
          <w:bCs/>
        </w:rPr>
      </w:pPr>
    </w:p>
    <w:p w:rsidR="00312603" w:rsidRDefault="00312603">
      <w:pPr>
        <w:pBdr>
          <w:bottom w:val="single" w:sz="6" w:space="1" w:color="auto"/>
        </w:pBdr>
        <w:rPr>
          <w:bCs/>
        </w:rPr>
      </w:pPr>
    </w:p>
    <w:p w:rsidR="00312603" w:rsidRDefault="00312603">
      <w:pPr>
        <w:pStyle w:val="Heading5"/>
      </w:pPr>
      <w:r>
        <w:t>DECREASE-5</w:t>
      </w:r>
    </w:p>
    <w:p w:rsidR="00312603" w:rsidRDefault="00312603">
      <w:pPr>
        <w:pBdr>
          <w:bottom w:val="single" w:sz="6" w:space="1" w:color="auto"/>
        </w:pBdr>
        <w:rPr>
          <w:bCs/>
        </w:rPr>
      </w:pPr>
    </w:p>
    <w:p w:rsidR="00312603" w:rsidRDefault="00312603">
      <w:pPr>
        <w:pBdr>
          <w:bottom w:val="single" w:sz="6" w:space="1" w:color="auto"/>
        </w:pBdr>
        <w:rPr>
          <w:bCs/>
        </w:rPr>
      </w:pPr>
      <w:hyperlink r:id="rId18" w:history="1">
        <w:r>
          <w:rPr>
            <w:rStyle w:val="Hyperlink"/>
            <w:bCs/>
          </w:rPr>
          <w:t>Small feasibit</w:t>
        </w:r>
        <w:r>
          <w:rPr>
            <w:rStyle w:val="Hyperlink"/>
            <w:bCs/>
          </w:rPr>
          <w:t>y</w:t>
        </w:r>
        <w:r>
          <w:rPr>
            <w:rStyle w:val="Hyperlink"/>
            <w:bCs/>
          </w:rPr>
          <w:t xml:space="preserve"> trial</w:t>
        </w:r>
      </w:hyperlink>
      <w:r>
        <w:rPr>
          <w:bCs/>
        </w:rPr>
        <w:t>- no evidence that revascularisation is superior- but such a small trial that difficult to know how much to read into this.</w:t>
      </w:r>
    </w:p>
    <w:p w:rsidR="00312603" w:rsidRDefault="00312603"/>
    <w:p w:rsidR="00312603" w:rsidRDefault="00312603">
      <w:pPr>
        <w:pStyle w:val="Heading5"/>
      </w:pPr>
      <w:r>
        <w:t>DECREASE-2</w:t>
      </w:r>
    </w:p>
    <w:p w:rsidR="00312603" w:rsidRDefault="00312603"/>
    <w:p w:rsidR="00312603" w:rsidRDefault="00312603">
      <w:r>
        <w:t>Randomised patients undergoing high risk vascular surgery that were in the intermediate risk group to testing or no testing prior to surgery. In the testing group, those found to have significant ischaemia had revascularisation before.</w:t>
      </w:r>
    </w:p>
    <w:p w:rsidR="00312603" w:rsidRDefault="00312603">
      <w:r>
        <w:t>Outcomes were similar in the two groups.</w:t>
      </w:r>
    </w:p>
    <w:p w:rsidR="00312603" w:rsidRDefault="00312603">
      <w:pPr>
        <w:pBdr>
          <w:bottom w:val="single" w:sz="6" w:space="1" w:color="auto"/>
        </w:pBdr>
      </w:pPr>
      <w:hyperlink r:id="rId19" w:history="1">
        <w:r>
          <w:rPr>
            <w:rStyle w:val="Hyperlink"/>
          </w:rPr>
          <w:t>JACC 2</w:t>
        </w:r>
        <w:r>
          <w:rPr>
            <w:rStyle w:val="Hyperlink"/>
          </w:rPr>
          <w:t>0</w:t>
        </w:r>
        <w:r>
          <w:rPr>
            <w:rStyle w:val="Hyperlink"/>
          </w:rPr>
          <w:t>06</w:t>
        </w:r>
      </w:hyperlink>
    </w:p>
    <w:p w:rsidR="00312603" w:rsidRDefault="00312603">
      <w:pPr>
        <w:pBdr>
          <w:bottom w:val="single" w:sz="6" w:space="1" w:color="auto"/>
        </w:pBdr>
        <w:rPr>
          <w:b/>
        </w:rPr>
      </w:pPr>
    </w:p>
    <w:p w:rsidR="00312603" w:rsidRDefault="00312603">
      <w:pPr>
        <w:pStyle w:val="Heading5"/>
      </w:pPr>
      <w:r>
        <w:t>CARP</w:t>
      </w:r>
    </w:p>
    <w:p w:rsidR="00312603" w:rsidRDefault="00312603">
      <w:pPr>
        <w:autoSpaceDE w:val="0"/>
        <w:autoSpaceDN w:val="0"/>
        <w:adjustRightInd w:val="0"/>
        <w:rPr>
          <w:lang w:val="en-US"/>
        </w:rPr>
      </w:pPr>
      <w:r>
        <w:rPr>
          <w:lang w:val="en-US"/>
        </w:rPr>
        <w:t>The CARP</w:t>
      </w:r>
    </w:p>
    <w:p w:rsidR="00312603" w:rsidRDefault="00312603">
      <w:pPr>
        <w:pBdr>
          <w:bottom w:val="single" w:sz="6" w:space="1" w:color="auto"/>
        </w:pBdr>
        <w:rPr>
          <w:bCs/>
        </w:rPr>
      </w:pPr>
      <w:r>
        <w:rPr>
          <w:lang w:val="en-US"/>
        </w:rPr>
        <w:t>(Coronary Artery Revascularization Prophylaxis) trial enrolled 510 stable patients with angiographic coronary artery disease (one-third had 3-vessel disease) undergoing major vascular surgery (33% abdominal aortic aneurysm repair and 67% lower extremity revascularization) (25). Patients with significant left main disease, unstable coronary syndromes, and severe cardiomyopathy were excluded. Patients were randomized to revascularization versus no revascularization before surgery. Revascularization was accomplished with coronary bypass surgery in 41% and with PCI in 59%. Patients who did or did not undergo revascularization had a similar incidence of postoperative AMI (8.4% vs. 8.4%, p _ 0.99) and survival after a median of 27 months from randomization (78% vs. 77%, p _ 0.98).</w:t>
      </w:r>
    </w:p>
    <w:p w:rsidR="00312603" w:rsidRDefault="00312603">
      <w:pPr>
        <w:pBdr>
          <w:bottom w:val="single" w:sz="6" w:space="1" w:color="auto"/>
        </w:pBdr>
        <w:rPr>
          <w:bCs/>
        </w:rPr>
      </w:pPr>
    </w:p>
    <w:p w:rsidR="00312603" w:rsidRDefault="00312603">
      <w:pPr>
        <w:pStyle w:val="Heading5"/>
      </w:pPr>
      <w:r>
        <w:t>Veteran’s Trial</w:t>
      </w:r>
    </w:p>
    <w:p w:rsidR="00312603" w:rsidRDefault="00312603">
      <w:pPr>
        <w:pBdr>
          <w:bottom w:val="single" w:sz="6" w:space="1" w:color="auto"/>
        </w:pBdr>
        <w:rPr>
          <w:bCs/>
        </w:rPr>
      </w:pPr>
    </w:p>
    <w:p w:rsidR="00312603" w:rsidRDefault="00312603">
      <w:pPr>
        <w:rPr>
          <w:b/>
        </w:rPr>
      </w:pPr>
    </w:p>
    <w:p w:rsidR="00312603" w:rsidRDefault="00312603">
      <w:pPr>
        <w:autoSpaceDE w:val="0"/>
        <w:autoSpaceDN w:val="0"/>
        <w:adjustRightInd w:val="0"/>
        <w:rPr>
          <w:lang w:val="en-US"/>
        </w:rPr>
      </w:pPr>
      <w:r>
        <w:rPr>
          <w:szCs w:val="36"/>
          <w:lang w:val="en-US"/>
        </w:rPr>
        <w:t>Coronary-Artery Revascularization before Elective Major Vascular Surgery</w:t>
      </w:r>
    </w:p>
    <w:p w:rsidR="00312603" w:rsidRDefault="00312603">
      <w:pPr>
        <w:autoSpaceDE w:val="0"/>
        <w:autoSpaceDN w:val="0"/>
        <w:adjustRightInd w:val="0"/>
        <w:rPr>
          <w:lang w:val="en-US"/>
        </w:rPr>
      </w:pPr>
    </w:p>
    <w:p w:rsidR="00312603" w:rsidRDefault="00312603">
      <w:pPr>
        <w:autoSpaceDE w:val="0"/>
        <w:autoSpaceDN w:val="0"/>
        <w:adjustRightInd w:val="0"/>
        <w:rPr>
          <w:lang w:val="en-US"/>
        </w:rPr>
      </w:pPr>
      <w:r>
        <w:rPr>
          <w:lang w:val="en-US"/>
        </w:rPr>
        <w:t>Coronary-artery revascularization before elective vascular surgery does not significantly</w:t>
      </w:r>
    </w:p>
    <w:p w:rsidR="00312603" w:rsidRDefault="00312603">
      <w:pPr>
        <w:autoSpaceDE w:val="0"/>
        <w:autoSpaceDN w:val="0"/>
        <w:adjustRightInd w:val="0"/>
        <w:rPr>
          <w:lang w:val="en-US"/>
        </w:rPr>
      </w:pPr>
      <w:r>
        <w:rPr>
          <w:lang w:val="en-US"/>
        </w:rPr>
        <w:t>alter the long-term outcome. On the basis of these data, a strategy of coronary-artery revascularization</w:t>
      </w:r>
    </w:p>
    <w:p w:rsidR="00312603" w:rsidRDefault="00312603">
      <w:pPr>
        <w:autoSpaceDE w:val="0"/>
        <w:autoSpaceDN w:val="0"/>
        <w:adjustRightInd w:val="0"/>
        <w:rPr>
          <w:lang w:val="en-US"/>
        </w:rPr>
      </w:pPr>
      <w:r>
        <w:rPr>
          <w:lang w:val="en-US"/>
        </w:rPr>
        <w:t>before elective vascular surgery among patients with stable cardiac symptoms</w:t>
      </w:r>
    </w:p>
    <w:p w:rsidR="00312603" w:rsidRDefault="00312603">
      <w:pPr>
        <w:autoSpaceDE w:val="0"/>
        <w:autoSpaceDN w:val="0"/>
        <w:adjustRightInd w:val="0"/>
        <w:rPr>
          <w:lang w:val="en-US"/>
        </w:rPr>
      </w:pPr>
      <w:r>
        <w:rPr>
          <w:lang w:val="en-US"/>
        </w:rPr>
        <w:t>cannot be recommended.</w:t>
      </w:r>
    </w:p>
    <w:p w:rsidR="00312603" w:rsidRDefault="00312603">
      <w:pPr>
        <w:rPr>
          <w:bCs/>
        </w:rPr>
      </w:pPr>
      <w:hyperlink r:id="rId20" w:history="1">
        <w:r>
          <w:rPr>
            <w:rStyle w:val="Hyperlink"/>
            <w:bCs/>
          </w:rPr>
          <w:t>NEJM 2004</w:t>
        </w:r>
      </w:hyperlink>
    </w:p>
    <w:p w:rsidR="00312603" w:rsidRDefault="00312603">
      <w:pPr>
        <w:rPr>
          <w:bCs/>
        </w:rPr>
      </w:pPr>
      <w:hyperlink r:id="rId21" w:history="1">
        <w:r>
          <w:rPr>
            <w:rStyle w:val="Hyperlink"/>
            <w:bCs/>
          </w:rPr>
          <w:t>Rel</w:t>
        </w:r>
        <w:r>
          <w:rPr>
            <w:rStyle w:val="Hyperlink"/>
            <w:bCs/>
          </w:rPr>
          <w:t>a</w:t>
        </w:r>
        <w:r>
          <w:rPr>
            <w:rStyle w:val="Hyperlink"/>
            <w:bCs/>
          </w:rPr>
          <w:t>ted editorial</w:t>
        </w:r>
      </w:hyperlink>
    </w:p>
    <w:p w:rsidR="00312603" w:rsidRDefault="00312603">
      <w:pPr>
        <w:pBdr>
          <w:bottom w:val="single" w:sz="6" w:space="1" w:color="auto"/>
        </w:pBdr>
        <w:rPr>
          <w:b/>
        </w:rPr>
      </w:pPr>
    </w:p>
    <w:p w:rsidR="00312603" w:rsidRDefault="00312603">
      <w:pPr>
        <w:rPr>
          <w:b/>
        </w:rPr>
      </w:pPr>
    </w:p>
    <w:p w:rsidR="00312603" w:rsidRDefault="00312603">
      <w:pPr>
        <w:rPr>
          <w:b/>
        </w:rPr>
      </w:pPr>
    </w:p>
    <w:p w:rsidR="00312603" w:rsidRDefault="00312603">
      <w:pPr>
        <w:rPr>
          <w:b/>
        </w:rPr>
      </w:pPr>
    </w:p>
    <w:p w:rsidR="00312603" w:rsidRDefault="00312603">
      <w:pPr>
        <w:pStyle w:val="Heading3"/>
      </w:pPr>
      <w:r>
        <w:t>Observational Studies</w:t>
      </w:r>
    </w:p>
    <w:p w:rsidR="00312603" w:rsidRDefault="00312603">
      <w:pPr>
        <w:rPr>
          <w:b/>
        </w:rPr>
      </w:pPr>
    </w:p>
    <w:p w:rsidR="00312603" w:rsidRDefault="00312603">
      <w:pPr>
        <w:rPr>
          <w:b/>
        </w:rPr>
      </w:pPr>
    </w:p>
    <w:p w:rsidR="00312603" w:rsidRDefault="00312603">
      <w:pPr>
        <w:pBdr>
          <w:bottom w:val="single" w:sz="6" w:space="1" w:color="auto"/>
        </w:pBdr>
        <w:rPr>
          <w:b/>
        </w:rPr>
      </w:pPr>
    </w:p>
    <w:p w:rsidR="00312603" w:rsidRDefault="00312603">
      <w:pPr>
        <w:rPr>
          <w:b/>
        </w:rPr>
      </w:pPr>
    </w:p>
    <w:p w:rsidR="00312603" w:rsidRDefault="00312603">
      <w:pPr>
        <w:pStyle w:val="BodyText2"/>
        <w:autoSpaceDE w:val="0"/>
        <w:autoSpaceDN w:val="0"/>
        <w:adjustRightInd w:val="0"/>
        <w:rPr>
          <w:szCs w:val="38"/>
          <w:lang w:val="en-US"/>
        </w:rPr>
      </w:pPr>
      <w:r>
        <w:rPr>
          <w:szCs w:val="38"/>
          <w:lang w:val="en-US"/>
        </w:rPr>
        <w:t>Clinical Outcome of Patients Undergoing Non-Cardiac Surgery in the Two Months Following Coronary Stenting</w:t>
      </w:r>
    </w:p>
    <w:p w:rsidR="00312603" w:rsidRDefault="00312603">
      <w:pPr>
        <w:rPr>
          <w:szCs w:val="38"/>
          <w:lang w:val="en-US"/>
        </w:rPr>
      </w:pPr>
      <w:hyperlink r:id="rId22" w:history="1">
        <w:r>
          <w:rPr>
            <w:rStyle w:val="Hyperlink"/>
            <w:szCs w:val="38"/>
            <w:lang w:val="en-US"/>
          </w:rPr>
          <w:t xml:space="preserve">JACC </w:t>
        </w:r>
        <w:r>
          <w:rPr>
            <w:rStyle w:val="Hyperlink"/>
            <w:szCs w:val="38"/>
            <w:lang w:val="en-US"/>
          </w:rPr>
          <w:t>2</w:t>
        </w:r>
        <w:r>
          <w:rPr>
            <w:rStyle w:val="Hyperlink"/>
            <w:szCs w:val="38"/>
            <w:lang w:val="en-US"/>
          </w:rPr>
          <w:t>003</w:t>
        </w:r>
      </w:hyperlink>
    </w:p>
    <w:p w:rsidR="00312603" w:rsidRDefault="00312603">
      <w:pPr>
        <w:rPr>
          <w:szCs w:val="38"/>
          <w:lang w:val="en-US"/>
        </w:rPr>
      </w:pPr>
      <w:r>
        <w:rPr>
          <w:szCs w:val="38"/>
          <w:lang w:val="en-US"/>
        </w:rPr>
        <w:t>In BMS era- retrospective analysis from the Mayo Clinic- mortality for surgery performed within six weeks was between 4 and 7%!! Much lower mortality if had surgery after this time.</w:t>
      </w:r>
    </w:p>
    <w:p w:rsidR="00312603" w:rsidRDefault="00312603">
      <w:pPr>
        <w:pBdr>
          <w:bottom w:val="single" w:sz="6" w:space="1" w:color="auto"/>
        </w:pBdr>
        <w:rPr>
          <w:rFonts w:ascii="ACaslon-Regular" w:hAnsi="ACaslon-Regular"/>
          <w:color w:val="231F20"/>
          <w:sz w:val="38"/>
          <w:szCs w:val="38"/>
          <w:lang w:val="en-US"/>
        </w:rPr>
      </w:pPr>
    </w:p>
    <w:p w:rsidR="00312603" w:rsidRDefault="00312603">
      <w:pPr>
        <w:rPr>
          <w:b/>
        </w:rPr>
      </w:pPr>
    </w:p>
    <w:p w:rsidR="00312603" w:rsidRDefault="00312603">
      <w:pPr>
        <w:pStyle w:val="BodyText2"/>
      </w:pPr>
      <w:r>
        <w:t>Outcome of noncardiac operations in patients with severe coronary artery disease successfully treated preoperatively with coronary angioplasty, Mayo Clin Proc, 1992;67:15-21</w:t>
      </w:r>
    </w:p>
    <w:p w:rsidR="00312603" w:rsidRDefault="00312603"/>
    <w:p w:rsidR="00312603" w:rsidRDefault="00312603">
      <w:r>
        <w:t>Abstract:</w:t>
      </w:r>
    </w:p>
    <w:p w:rsidR="00312603" w:rsidRDefault="00312603">
      <w:r>
        <w:t>The risk of perioperative myocardial infarction and death in 50 patients (mean age 68 years) with severe coronary artery disease who underwent a non-cardiac operation after revascularisation had been achieved by successful percutaneous transluminal angioplasty. Before angioplasty, all patients were thought to be at high risk for perioperative complications on the basis of assessment of clinical variables and findings on specialised diagnostic tests. Of the 50 patients, 31 had Class III or IV angina or unstable angina. All patients who underwent functional testing had positive results. At catheterization, 38 patients (76%) had multivessel disease. The 50 patients underwent 54 noncardiac operations at a median of 9 days after angioplasty. The overall frequency of perioperative myocardial infarction was 5.6% and the mortality was 1.9%. Two nonfatal non-Q wave infarctions and one fatal Q-wave infarction occured.</w:t>
      </w:r>
    </w:p>
    <w:p w:rsidR="00312603" w:rsidRDefault="00312603">
      <w:pPr>
        <w:pBdr>
          <w:bottom w:val="single" w:sz="6" w:space="1" w:color="auto"/>
        </w:pBdr>
        <w:rPr>
          <w:b/>
        </w:rPr>
      </w:pPr>
    </w:p>
    <w:p w:rsidR="00312603" w:rsidRDefault="00312603">
      <w:pPr>
        <w:rPr>
          <w:b/>
        </w:rPr>
      </w:pPr>
    </w:p>
    <w:p w:rsidR="00312603" w:rsidRDefault="00312603">
      <w:pPr>
        <w:rPr>
          <w:b/>
        </w:rPr>
      </w:pPr>
    </w:p>
    <w:p w:rsidR="00312603" w:rsidRDefault="00312603">
      <w:pPr>
        <w:pStyle w:val="Heading2"/>
      </w:pPr>
      <w:r>
        <w:t>Strategies to reduce operative risk: Pharmacologic</w:t>
      </w:r>
    </w:p>
    <w:p w:rsidR="00312603" w:rsidRDefault="00312603"/>
    <w:p w:rsidR="00312603" w:rsidRDefault="00312603"/>
    <w:p w:rsidR="00312603" w:rsidRDefault="00312603">
      <w:pPr>
        <w:rPr>
          <w:b/>
        </w:rPr>
      </w:pPr>
    </w:p>
    <w:p w:rsidR="00312603" w:rsidRDefault="00312603">
      <w:pPr>
        <w:pStyle w:val="Heading3"/>
      </w:pPr>
      <w:r>
        <w:t>Reviews</w:t>
      </w:r>
    </w:p>
    <w:p w:rsidR="00312603" w:rsidRDefault="00312603">
      <w:pPr>
        <w:rPr>
          <w:b/>
        </w:rPr>
      </w:pPr>
    </w:p>
    <w:p w:rsidR="00312603" w:rsidRDefault="00312603">
      <w:pPr>
        <w:rPr>
          <w:b/>
        </w:rPr>
      </w:pPr>
    </w:p>
    <w:p w:rsidR="00312603" w:rsidRDefault="00312603">
      <w:pPr>
        <w:rPr>
          <w:b/>
        </w:rPr>
      </w:pPr>
    </w:p>
    <w:p w:rsidR="00312603" w:rsidRDefault="00312603">
      <w:pPr>
        <w:rPr>
          <w:b/>
        </w:rPr>
      </w:pPr>
    </w:p>
    <w:p w:rsidR="00312603" w:rsidRDefault="00312603">
      <w:pPr>
        <w:rPr>
          <w:b/>
        </w:rPr>
      </w:pPr>
    </w:p>
    <w:p w:rsidR="00312603" w:rsidRDefault="00312603">
      <w:pPr>
        <w:rPr>
          <w:b/>
        </w:rPr>
      </w:pPr>
    </w:p>
    <w:p w:rsidR="00312603" w:rsidRDefault="00312603">
      <w:pPr>
        <w:rPr>
          <w:b/>
        </w:rPr>
      </w:pPr>
    </w:p>
    <w:p w:rsidR="00312603" w:rsidRDefault="00312603">
      <w:pPr>
        <w:pStyle w:val="Heading3"/>
      </w:pPr>
      <w:r>
        <w:t>Randomised Trials</w:t>
      </w:r>
    </w:p>
    <w:p w:rsidR="00312603" w:rsidRDefault="00312603">
      <w:pPr>
        <w:pBdr>
          <w:bottom w:val="single" w:sz="6" w:space="1" w:color="auto"/>
        </w:pBdr>
        <w:rPr>
          <w:bCs/>
        </w:rPr>
      </w:pPr>
    </w:p>
    <w:p w:rsidR="00312603" w:rsidRDefault="00312603">
      <w:pPr>
        <w:pBdr>
          <w:bottom w:val="single" w:sz="6" w:space="1" w:color="auto"/>
        </w:pBdr>
        <w:rPr>
          <w:bCs/>
        </w:rPr>
      </w:pPr>
    </w:p>
    <w:p w:rsidR="00312603" w:rsidRDefault="00312603">
      <w:pPr>
        <w:pBdr>
          <w:bottom w:val="single" w:sz="6" w:space="1" w:color="auto"/>
        </w:pBdr>
        <w:rPr>
          <w:bCs/>
        </w:rPr>
      </w:pPr>
    </w:p>
    <w:p w:rsidR="00312603" w:rsidRDefault="00312603">
      <w:pPr>
        <w:pStyle w:val="Heading4"/>
      </w:pPr>
      <w:r>
        <w:t>Beta-blockers</w:t>
      </w:r>
    </w:p>
    <w:p w:rsidR="00312603" w:rsidRDefault="00312603"/>
    <w:p w:rsidR="00312603" w:rsidRDefault="00312603">
      <w:pPr>
        <w:pBdr>
          <w:bottom w:val="single" w:sz="6" w:space="1" w:color="auto"/>
        </w:pBdr>
        <w:rPr>
          <w:bCs/>
        </w:rPr>
      </w:pPr>
    </w:p>
    <w:p w:rsidR="00312603" w:rsidRDefault="00312603">
      <w:pPr>
        <w:pBdr>
          <w:bottom w:val="single" w:sz="6" w:space="1" w:color="auto"/>
        </w:pBdr>
        <w:rPr>
          <w:bCs/>
        </w:rPr>
      </w:pPr>
    </w:p>
    <w:p w:rsidR="00312603" w:rsidRDefault="00312603">
      <w:pPr>
        <w:pStyle w:val="Heading5"/>
      </w:pPr>
      <w:r>
        <w:t>Reviews</w:t>
      </w:r>
    </w:p>
    <w:p w:rsidR="00312603" w:rsidRDefault="00312603">
      <w:pPr>
        <w:pBdr>
          <w:bottom w:val="single" w:sz="6" w:space="1" w:color="auto"/>
        </w:pBdr>
        <w:rPr>
          <w:bCs/>
        </w:rPr>
      </w:pPr>
    </w:p>
    <w:p w:rsidR="00312603" w:rsidRDefault="00312603">
      <w:pPr>
        <w:rPr>
          <w:bCs/>
        </w:rPr>
      </w:pPr>
    </w:p>
    <w:p w:rsidR="00312603" w:rsidRDefault="00312603">
      <w:pPr>
        <w:pBdr>
          <w:bottom w:val="single" w:sz="6" w:space="1" w:color="auto"/>
        </w:pBdr>
        <w:rPr>
          <w:bCs/>
        </w:rPr>
      </w:pPr>
      <w:r>
        <w:rPr>
          <w:bCs/>
        </w:rPr>
        <w:t>ESC 2009</w:t>
      </w:r>
    </w:p>
    <w:p w:rsidR="00312603" w:rsidRDefault="00312603">
      <w:pPr>
        <w:pBdr>
          <w:bottom w:val="single" w:sz="6" w:space="1" w:color="auto"/>
        </w:pBdr>
        <w:rPr>
          <w:bCs/>
        </w:rPr>
      </w:pPr>
      <w:hyperlink r:id="rId23" w:history="1">
        <w:r>
          <w:rPr>
            <w:rStyle w:val="Hyperlink"/>
            <w:bCs/>
          </w:rPr>
          <w:t xml:space="preserve">Link to folder </w:t>
        </w:r>
        <w:r>
          <w:rPr>
            <w:rStyle w:val="Hyperlink"/>
            <w:bCs/>
          </w:rPr>
          <w:t>w</w:t>
        </w:r>
        <w:r>
          <w:rPr>
            <w:rStyle w:val="Hyperlink"/>
            <w:bCs/>
          </w:rPr>
          <w:t xml:space="preserve">ith </w:t>
        </w:r>
        <w:r>
          <w:rPr>
            <w:rStyle w:val="Hyperlink"/>
            <w:bCs/>
          </w:rPr>
          <w:t>s</w:t>
        </w:r>
        <w:r>
          <w:rPr>
            <w:rStyle w:val="Hyperlink"/>
            <w:bCs/>
          </w:rPr>
          <w:t>lides</w:t>
        </w:r>
      </w:hyperlink>
    </w:p>
    <w:p w:rsidR="00312603" w:rsidRDefault="00312603">
      <w:pPr>
        <w:pBdr>
          <w:bottom w:val="single" w:sz="6" w:space="1" w:color="auto"/>
        </w:pBdr>
        <w:rPr>
          <w:bCs/>
        </w:rPr>
      </w:pPr>
      <w:hyperlink r:id="rId24" w:history="1">
        <w:r>
          <w:rPr>
            <w:rStyle w:val="Hyperlink"/>
            <w:bCs/>
          </w:rPr>
          <w:t xml:space="preserve">Link to mp3 </w:t>
        </w:r>
        <w:r>
          <w:rPr>
            <w:rStyle w:val="Hyperlink"/>
            <w:bCs/>
          </w:rPr>
          <w:t>f</w:t>
        </w:r>
        <w:r>
          <w:rPr>
            <w:rStyle w:val="Hyperlink"/>
            <w:bCs/>
          </w:rPr>
          <w:t>ile</w:t>
        </w:r>
      </w:hyperlink>
    </w:p>
    <w:p w:rsidR="00312603" w:rsidRDefault="00312603">
      <w:pPr>
        <w:pBdr>
          <w:bottom w:val="single" w:sz="6" w:space="1" w:color="auto"/>
        </w:pBdr>
        <w:rPr>
          <w:bCs/>
        </w:rPr>
      </w:pPr>
    </w:p>
    <w:p w:rsidR="00312603" w:rsidRDefault="00312603">
      <w:pPr>
        <w:pBdr>
          <w:bottom w:val="single" w:sz="6" w:space="1" w:color="auto"/>
        </w:pBdr>
        <w:rPr>
          <w:bCs/>
        </w:rPr>
      </w:pPr>
    </w:p>
    <w:p w:rsidR="00312603" w:rsidRDefault="00312603">
      <w:pPr>
        <w:pStyle w:val="BodyText2"/>
        <w:autoSpaceDE w:val="0"/>
        <w:autoSpaceDN w:val="0"/>
        <w:adjustRightInd w:val="0"/>
        <w:rPr>
          <w:bCs w:val="0"/>
          <w:szCs w:val="40"/>
          <w:lang w:val="en-US"/>
        </w:rPr>
      </w:pPr>
      <w:r>
        <w:rPr>
          <w:bCs w:val="0"/>
          <w:szCs w:val="40"/>
          <w:lang w:val="en-US"/>
        </w:rPr>
        <w:t>Perioperative Beta-blockers for Major Noncardiac Surgery:</w:t>
      </w:r>
    </w:p>
    <w:p w:rsidR="00312603" w:rsidRDefault="00312603">
      <w:pPr>
        <w:pBdr>
          <w:bottom w:val="single" w:sz="6" w:space="1" w:color="auto"/>
        </w:pBdr>
        <w:rPr>
          <w:bCs/>
          <w:iCs/>
          <w:szCs w:val="40"/>
          <w:lang w:val="en-US"/>
        </w:rPr>
      </w:pPr>
      <w:r>
        <w:rPr>
          <w:bCs/>
          <w:iCs/>
          <w:szCs w:val="40"/>
          <w:lang w:val="en-US"/>
        </w:rPr>
        <w:t>Primum Non Nocere</w:t>
      </w:r>
    </w:p>
    <w:p w:rsidR="00312603" w:rsidRDefault="00312603">
      <w:pPr>
        <w:pBdr>
          <w:bottom w:val="single" w:sz="6" w:space="1" w:color="auto"/>
        </w:pBdr>
        <w:rPr>
          <w:bCs/>
          <w:iCs/>
          <w:szCs w:val="40"/>
          <w:lang w:val="en-US"/>
        </w:rPr>
      </w:pPr>
      <w:hyperlink r:id="rId25" w:history="1">
        <w:r>
          <w:rPr>
            <w:rStyle w:val="Hyperlink"/>
            <w:bCs/>
            <w:iCs/>
            <w:szCs w:val="40"/>
            <w:lang w:val="en-US"/>
          </w:rPr>
          <w:t>American Journal of Medi</w:t>
        </w:r>
        <w:r>
          <w:rPr>
            <w:rStyle w:val="Hyperlink"/>
            <w:bCs/>
            <w:iCs/>
            <w:szCs w:val="40"/>
            <w:lang w:val="en-US"/>
          </w:rPr>
          <w:t>c</w:t>
        </w:r>
        <w:r>
          <w:rPr>
            <w:rStyle w:val="Hyperlink"/>
            <w:bCs/>
            <w:iCs/>
            <w:szCs w:val="40"/>
            <w:lang w:val="en-US"/>
          </w:rPr>
          <w:t>ine 2009</w:t>
        </w:r>
      </w:hyperlink>
    </w:p>
    <w:p w:rsidR="00312603" w:rsidRDefault="00312603">
      <w:pPr>
        <w:pBdr>
          <w:bottom w:val="single" w:sz="6" w:space="1" w:color="auto"/>
        </w:pBdr>
        <w:rPr>
          <w:bCs/>
        </w:rPr>
      </w:pPr>
      <w:r>
        <w:rPr>
          <w:bCs/>
          <w:iCs/>
          <w:szCs w:val="40"/>
          <w:lang w:val="en-US"/>
        </w:rPr>
        <w:t>Good extensive review</w:t>
      </w:r>
    </w:p>
    <w:p w:rsidR="00312603" w:rsidRDefault="00312603">
      <w:pPr>
        <w:rPr>
          <w:bCs/>
        </w:rPr>
      </w:pPr>
    </w:p>
    <w:p w:rsidR="00312603" w:rsidRDefault="00312603">
      <w:r>
        <w:t>Perioperative Beta-blockers</w:t>
      </w:r>
    </w:p>
    <w:p w:rsidR="00312603" w:rsidRDefault="00312603">
      <w:pPr>
        <w:rPr>
          <w:b/>
          <w:bCs/>
        </w:rPr>
      </w:pPr>
      <w:r>
        <w:rPr>
          <w:b/>
          <w:bCs/>
        </w:rPr>
        <w:t xml:space="preserve">Meta-analysis by Sripal Bangalore, The Lancet 2008- </w:t>
      </w:r>
      <w:hyperlink r:id="rId26" w:history="1">
        <w:r>
          <w:rPr>
            <w:rStyle w:val="Hyperlink"/>
          </w:rPr>
          <w:t>w</w:t>
        </w:r>
        <w:r>
          <w:rPr>
            <w:rStyle w:val="Hyperlink"/>
          </w:rPr>
          <w:t>e</w:t>
        </w:r>
        <w:r>
          <w:rPr>
            <w:rStyle w:val="Hyperlink"/>
          </w:rPr>
          <w:t>b report</w:t>
        </w:r>
      </w:hyperlink>
    </w:p>
    <w:p w:rsidR="00312603" w:rsidRDefault="00312603">
      <w:hyperlink r:id="rId27" w:history="1">
        <w:r>
          <w:rPr>
            <w:rStyle w:val="Hyperlink"/>
          </w:rPr>
          <w:t>L</w:t>
        </w:r>
        <w:r>
          <w:rPr>
            <w:rStyle w:val="Hyperlink"/>
          </w:rPr>
          <w:t>e</w:t>
        </w:r>
        <w:r>
          <w:rPr>
            <w:rStyle w:val="Hyperlink"/>
          </w:rPr>
          <w:t>tters</w:t>
        </w:r>
      </w:hyperlink>
    </w:p>
    <w:p w:rsidR="00312603" w:rsidRDefault="00312603">
      <w:hyperlink r:id="rId28" w:history="1">
        <w:r>
          <w:rPr>
            <w:rStyle w:val="Hyperlink"/>
          </w:rPr>
          <w:t>Letters</w:t>
        </w:r>
      </w:hyperlink>
    </w:p>
    <w:p w:rsidR="00312603" w:rsidRDefault="00312603">
      <w:r>
        <w:t>Note some evidence that betablockers may be helpful in the high risk group, but still needs to be proven.</w:t>
      </w:r>
    </w:p>
    <w:p w:rsidR="00312603" w:rsidRDefault="00312603"/>
    <w:p w:rsidR="00312603" w:rsidRDefault="00312603">
      <w:pPr>
        <w:pStyle w:val="Heading5"/>
      </w:pPr>
      <w:r>
        <w:t>Randomised Trials</w:t>
      </w:r>
    </w:p>
    <w:p w:rsidR="00312603" w:rsidRDefault="00312603"/>
    <w:p w:rsidR="00312603" w:rsidRDefault="00312603">
      <w:pPr>
        <w:pStyle w:val="Heading6"/>
      </w:pPr>
      <w:r>
        <w:t>POISE</w:t>
      </w:r>
    </w:p>
    <w:p w:rsidR="00312603" w:rsidRDefault="00312603">
      <w:pPr>
        <w:pBdr>
          <w:bottom w:val="single" w:sz="6" w:space="1" w:color="auto"/>
        </w:pBdr>
        <w:rPr>
          <w:bCs/>
        </w:rPr>
      </w:pPr>
      <w:hyperlink r:id="rId29" w:history="1">
        <w:r>
          <w:rPr>
            <w:rStyle w:val="Hyperlink"/>
            <w:bCs/>
          </w:rPr>
          <w:t>We</w:t>
        </w:r>
        <w:r>
          <w:rPr>
            <w:rStyle w:val="Hyperlink"/>
            <w:bCs/>
          </w:rPr>
          <w:t>b</w:t>
        </w:r>
        <w:r>
          <w:rPr>
            <w:rStyle w:val="Hyperlink"/>
            <w:bCs/>
          </w:rPr>
          <w:t xml:space="preserve"> </w:t>
        </w:r>
        <w:r>
          <w:rPr>
            <w:rStyle w:val="Hyperlink"/>
            <w:bCs/>
          </w:rPr>
          <w:t>r</w:t>
        </w:r>
        <w:r>
          <w:rPr>
            <w:rStyle w:val="Hyperlink"/>
            <w:bCs/>
          </w:rPr>
          <w:t>eport</w:t>
        </w:r>
      </w:hyperlink>
    </w:p>
    <w:p w:rsidR="00312603" w:rsidRDefault="00312603">
      <w:pPr>
        <w:pBdr>
          <w:bottom w:val="single" w:sz="6" w:space="1" w:color="auto"/>
        </w:pBdr>
        <w:rPr>
          <w:bCs/>
        </w:rPr>
      </w:pPr>
      <w:hyperlink r:id="rId30" w:history="1">
        <w:r>
          <w:rPr>
            <w:rStyle w:val="Hyperlink"/>
            <w:bCs/>
          </w:rPr>
          <w:t>Web re</w:t>
        </w:r>
        <w:r>
          <w:rPr>
            <w:rStyle w:val="Hyperlink"/>
            <w:bCs/>
          </w:rPr>
          <w:t>p</w:t>
        </w:r>
        <w:r>
          <w:rPr>
            <w:rStyle w:val="Hyperlink"/>
            <w:bCs/>
          </w:rPr>
          <w:t>ort</w:t>
        </w:r>
      </w:hyperlink>
    </w:p>
    <w:p w:rsidR="00312603" w:rsidRDefault="00312603">
      <w:pPr>
        <w:pBdr>
          <w:bottom w:val="single" w:sz="6" w:space="1" w:color="auto"/>
        </w:pBdr>
        <w:rPr>
          <w:bCs/>
        </w:rPr>
      </w:pPr>
    </w:p>
    <w:p w:rsidR="00312603" w:rsidRDefault="00312603">
      <w:pPr>
        <w:pBdr>
          <w:bottom w:val="single" w:sz="6" w:space="1" w:color="auto"/>
        </w:pBdr>
        <w:rPr>
          <w:bCs/>
        </w:rPr>
      </w:pPr>
      <w:r>
        <w:rPr>
          <w:bCs/>
        </w:rPr>
        <w:t>Very aggressive use of betablockers immediately before surgery was overall harmful although there was reduction of perioperative MI</w:t>
      </w:r>
    </w:p>
    <w:p w:rsidR="00312603" w:rsidRDefault="00312603">
      <w:pPr>
        <w:pBdr>
          <w:bottom w:val="single" w:sz="6" w:space="1" w:color="auto"/>
        </w:pBdr>
        <w:rPr>
          <w:bCs/>
        </w:rPr>
      </w:pPr>
    </w:p>
    <w:p w:rsidR="00312603" w:rsidRDefault="00312603"/>
    <w:p w:rsidR="00312603" w:rsidRDefault="00312603">
      <w:pPr>
        <w:pStyle w:val="Heading6"/>
      </w:pPr>
      <w:r>
        <w:t>DECREASE-2</w:t>
      </w:r>
    </w:p>
    <w:p w:rsidR="00312603" w:rsidRDefault="00312603"/>
    <w:p w:rsidR="00312603" w:rsidRDefault="00312603">
      <w:r>
        <w:t>Bisoprolol vs placebo- bisoprolol started more than 30 days prior to surgery- reduced MI and death, slightly less stroke.</w:t>
      </w:r>
    </w:p>
    <w:p w:rsidR="00312603" w:rsidRDefault="00312603">
      <w:pPr>
        <w:pBdr>
          <w:bottom w:val="single" w:sz="6" w:space="1" w:color="auto"/>
        </w:pBdr>
      </w:pPr>
    </w:p>
    <w:p w:rsidR="00312603" w:rsidRDefault="00312603"/>
    <w:p w:rsidR="00312603" w:rsidRDefault="00312603"/>
    <w:p w:rsidR="00312603" w:rsidRDefault="00312603"/>
    <w:p w:rsidR="00312603" w:rsidRDefault="00312603">
      <w:pPr>
        <w:pStyle w:val="Heading5"/>
      </w:pPr>
      <w:r>
        <w:t>Non-Randomised Data</w:t>
      </w:r>
    </w:p>
    <w:p w:rsidR="00312603" w:rsidRDefault="00312603"/>
    <w:p w:rsidR="00312603" w:rsidRDefault="00312603"/>
    <w:p w:rsidR="00312603" w:rsidRDefault="00312603">
      <w:pPr>
        <w:pBdr>
          <w:bottom w:val="single" w:sz="6" w:space="1" w:color="auto"/>
        </w:pBdr>
      </w:pPr>
    </w:p>
    <w:p w:rsidR="00312603" w:rsidRDefault="00312603"/>
    <w:p w:rsidR="00312603" w:rsidRDefault="00312603"/>
    <w:p w:rsidR="00312603" w:rsidRDefault="00312603">
      <w:pPr>
        <w:pStyle w:val="BodyText2"/>
        <w:autoSpaceDE w:val="0"/>
        <w:autoSpaceDN w:val="0"/>
        <w:adjustRightInd w:val="0"/>
        <w:rPr>
          <w:bCs w:val="0"/>
          <w:szCs w:val="37"/>
          <w:lang w:val="en-US"/>
        </w:rPr>
      </w:pPr>
      <w:r>
        <w:rPr>
          <w:bCs w:val="0"/>
          <w:szCs w:val="37"/>
          <w:lang w:val="en-US"/>
        </w:rPr>
        <w:t>High-Dose-Blockers and Tight Heart Rate Control Reduce Myocardial Ischemia and Troponin T Release in Vascular Surgery Patients</w:t>
      </w:r>
    </w:p>
    <w:p w:rsidR="00312603" w:rsidRDefault="00312603"/>
    <w:p w:rsidR="00312603" w:rsidRDefault="00312603">
      <w:pPr>
        <w:autoSpaceDE w:val="0"/>
        <w:autoSpaceDN w:val="0"/>
        <w:adjustRightInd w:val="0"/>
        <w:rPr>
          <w:lang w:val="en-US"/>
        </w:rPr>
      </w:pPr>
      <w:r>
        <w:rPr>
          <w:lang w:val="en-US"/>
        </w:rPr>
        <w:t>In an observational cohort study, 272 vascular surgery patients were preoperatively screened for</w:t>
      </w:r>
    </w:p>
    <w:p w:rsidR="00312603" w:rsidRDefault="00312603">
      <w:pPr>
        <w:autoSpaceDE w:val="0"/>
        <w:autoSpaceDN w:val="0"/>
        <w:adjustRightInd w:val="0"/>
        <w:rPr>
          <w:lang w:val="en-US"/>
        </w:rPr>
      </w:pPr>
      <w:r>
        <w:rPr>
          <w:lang w:val="en-US"/>
        </w:rPr>
        <w:t xml:space="preserve">cardiac risk factors and _-blocker dose. Beta-blocker dose was converted to a percentage of maximum recommendedtherapeutic dose. </w:t>
      </w:r>
    </w:p>
    <w:p w:rsidR="00312603" w:rsidRDefault="00312603">
      <w:pPr>
        <w:autoSpaceDE w:val="0"/>
        <w:autoSpaceDN w:val="0"/>
        <w:adjustRightInd w:val="0"/>
        <w:rPr>
          <w:lang w:val="en-US"/>
        </w:rPr>
      </w:pPr>
      <w:r>
        <w:rPr>
          <w:lang w:val="en-US"/>
        </w:rPr>
        <w:t>In multivariate analysis, higher -blocker doses (per 10% increase) were significantly associated with a lower incidence of myocardial ischemia (hazard ratio [HR], 0.62;95% confidence interval [CI], 0.51 to 0.75), troponin T release (HR, 0.63; 95% CI, 0.49 to 0.80), and long-term mortality (HR, 0.86; 95% CI, 0.76 to 0.97).</w:t>
      </w:r>
    </w:p>
    <w:p w:rsidR="00312603" w:rsidRDefault="00312603">
      <w:pPr>
        <w:rPr>
          <w:lang w:val="en-US"/>
        </w:rPr>
      </w:pPr>
      <w:hyperlink r:id="rId31" w:history="1">
        <w:r>
          <w:rPr>
            <w:rStyle w:val="Hyperlink"/>
            <w:lang w:val="en-US"/>
          </w:rPr>
          <w:t>Circulati</w:t>
        </w:r>
        <w:r>
          <w:rPr>
            <w:rStyle w:val="Hyperlink"/>
            <w:lang w:val="en-US"/>
          </w:rPr>
          <w:t>o</w:t>
        </w:r>
        <w:r>
          <w:rPr>
            <w:rStyle w:val="Hyperlink"/>
            <w:lang w:val="en-US"/>
          </w:rPr>
          <w:t>n 2006</w:t>
        </w:r>
      </w:hyperlink>
    </w:p>
    <w:p w:rsidR="00312603" w:rsidRDefault="00312603">
      <w:pPr>
        <w:rPr>
          <w:rFonts w:ascii="Times-Roman" w:hAnsi="Times-Roman"/>
          <w:lang w:val="en-US"/>
        </w:rPr>
      </w:pPr>
      <w:r>
        <w:rPr>
          <w:lang w:val="en-US"/>
        </w:rPr>
        <w:t>Guidelines state that betablockers should be continued in high risk patients during surgery.</w:t>
      </w:r>
    </w:p>
    <w:p w:rsidR="00312603" w:rsidRDefault="00312603">
      <w:pPr>
        <w:pBdr>
          <w:bottom w:val="single" w:sz="6" w:space="1" w:color="auto"/>
        </w:pBdr>
        <w:rPr>
          <w:rFonts w:ascii="Times-Roman" w:hAnsi="Times-Roman"/>
          <w:lang w:val="en-US"/>
        </w:rPr>
      </w:pPr>
    </w:p>
    <w:p w:rsidR="00312603" w:rsidRDefault="00312603"/>
    <w:p w:rsidR="00312603" w:rsidRDefault="00312603">
      <w:hyperlink r:id="rId32" w:history="1">
        <w:r>
          <w:rPr>
            <w:rStyle w:val="Hyperlink"/>
          </w:rPr>
          <w:t xml:space="preserve">October 2008 issue of the </w:t>
        </w:r>
        <w:r>
          <w:rPr>
            <w:rStyle w:val="Hyperlink"/>
            <w:iCs/>
          </w:rPr>
          <w:t>Archives of Surgery</w:t>
        </w:r>
        <w:r>
          <w:rPr>
            <w:rStyle w:val="Hyperlink"/>
          </w:rPr>
          <w:t>.</w:t>
        </w:r>
      </w:hyperlink>
    </w:p>
    <w:p w:rsidR="00312603" w:rsidRDefault="00312603">
      <w:r>
        <w:t>Case control study that found betablockers did not necessarily protect and that those that died were not at high risk prior to having surgery.</w:t>
      </w:r>
    </w:p>
    <w:p w:rsidR="00312603" w:rsidRDefault="00312603">
      <w:r>
        <w:t>May be the matching was not that good- those already on betablockers probably were at high risk anyway. They interpret all of this to mean that if one uses beta-blockers one should ensure that the heart rate control is very good. I suppose one also makes sure other drugs that lower BP and are not essential be weaned off if the patients’ BP is low normal on high dose betablocker to reduce risk of hypotension perioperatively.</w:t>
      </w:r>
    </w:p>
    <w:p w:rsidR="00312603" w:rsidRDefault="00312603">
      <w:pPr>
        <w:pBdr>
          <w:bottom w:val="single" w:sz="6" w:space="1" w:color="auto"/>
        </w:pBdr>
      </w:pPr>
    </w:p>
    <w:p w:rsidR="00312603" w:rsidRDefault="00312603"/>
    <w:p w:rsidR="00312603" w:rsidRDefault="00312603"/>
    <w:p w:rsidR="00312603" w:rsidRDefault="00312603">
      <w:pPr>
        <w:pStyle w:val="Heading2"/>
      </w:pPr>
      <w:r>
        <w:t>Predictive value of clinical risk factors</w:t>
      </w:r>
    </w:p>
    <w:p w:rsidR="00312603" w:rsidRDefault="00312603">
      <w:pPr>
        <w:rPr>
          <w:b/>
        </w:rPr>
      </w:pPr>
    </w:p>
    <w:p w:rsidR="00312603" w:rsidRDefault="00312603">
      <w:pPr>
        <w:rPr>
          <w:b/>
        </w:rPr>
      </w:pPr>
      <w:r>
        <w:t>_____________________________________________</w:t>
      </w:r>
    </w:p>
    <w:p w:rsidR="00312603" w:rsidRDefault="00312603"/>
    <w:p w:rsidR="00312603" w:rsidRDefault="00312603">
      <w:r>
        <w:t>**Concordance of preoperative clinical risk with angiogrpahic severity of coronary artery disease in patients undergoing vascular surgery, Circulation 1996;94: 1561-1566</w:t>
      </w:r>
    </w:p>
    <w:p w:rsidR="00312603" w:rsidRDefault="00312603"/>
    <w:p w:rsidR="00312603" w:rsidRDefault="00312603">
      <w:r>
        <w:t>Myocardial infarction accounts for 40-60% of deaths after major vascular surgery. A</w:t>
      </w:r>
      <w:r w:rsidR="00713E78">
        <w:t>t</w:t>
      </w:r>
      <w:r>
        <w:t xml:space="preserve"> Cleveland clinic, before the era of noninvasive assessment, a study was done where 878 of 1000 consecutive patients had coronary angiography before major vascular surgery.</w:t>
      </w:r>
    </w:p>
    <w:p w:rsidR="00312603" w:rsidRDefault="00312603"/>
    <w:p w:rsidR="00312603" w:rsidRDefault="00312603">
      <w:r>
        <w:t xml:space="preserve">Severe stenosis defined as 3vd (ie </w:t>
      </w:r>
      <w:r>
        <w:sym w:font="Symbol" w:char="F0B3"/>
      </w:r>
      <w:r>
        <w:t>50% stenosis in RCA, LCX and LAD), 2vd as LAD</w:t>
      </w:r>
      <w:r>
        <w:sym w:font="Symbol" w:char="F0B3"/>
      </w:r>
      <w:r>
        <w:t xml:space="preserve">70% with </w:t>
      </w:r>
      <w:r>
        <w:sym w:font="Symbol" w:char="F0B3"/>
      </w:r>
      <w:r>
        <w:t xml:space="preserve">50% in RCA or LCX. LMS stenosis </w:t>
      </w:r>
      <w:r>
        <w:sym w:font="Symbol" w:char="F0B3"/>
      </w:r>
      <w:r>
        <w:t>50% regarded as significant. Critical stenosis was de</w:t>
      </w:r>
      <w:r w:rsidR="00713E78">
        <w:t>f</w:t>
      </w:r>
      <w:r>
        <w:t xml:space="preserve">ined as </w:t>
      </w:r>
      <w:r>
        <w:sym w:font="Symbol" w:char="F0B3"/>
      </w:r>
      <w:r>
        <w:t xml:space="preserve">70% in all three vessels or LMS stenosis </w:t>
      </w:r>
      <w:r>
        <w:sym w:font="Symbol" w:char="F0B3"/>
      </w:r>
      <w:r>
        <w:t>70%.</w:t>
      </w:r>
    </w:p>
    <w:p w:rsidR="00312603" w:rsidRDefault="00312603"/>
    <w:p w:rsidR="00312603" w:rsidRDefault="00312603">
      <w:r>
        <w:t xml:space="preserve">Preop clinical index comprised: age&gt;70 years, hx of DM, hx of angina, previous myocardial infarction, and previous congestive heart failure. THOSE with NONE of these rfs defined as low risk, 1-2 Rfs intermediate risk and </w:t>
      </w:r>
      <w:r>
        <w:sym w:font="Symbol" w:char="F0B3"/>
      </w:r>
      <w:r>
        <w:t>3 rfs at high risk.</w:t>
      </w:r>
    </w:p>
    <w:p w:rsidR="00312603" w:rsidRDefault="00312603"/>
    <w:p w:rsidR="00312603" w:rsidRDefault="00312603">
      <w:r>
        <w:t>40% at low risk, 52% intermediate risk, 8% high risk.</w:t>
      </w:r>
    </w:p>
    <w:p w:rsidR="00312603" w:rsidRDefault="00312603"/>
    <w:p w:rsidR="00312603" w:rsidRDefault="00312603">
      <w:r>
        <w:t>Concordance of clinical risk and severity of coronary disease:</w:t>
      </w:r>
    </w:p>
    <w:p w:rsidR="00312603" w:rsidRDefault="00312603"/>
    <w:tbl>
      <w:tblPr>
        <w:tblW w:w="0" w:type="auto"/>
        <w:tblLayout w:type="fixed"/>
        <w:tblLook w:val="0000" w:firstRow="0" w:lastRow="0" w:firstColumn="0" w:lastColumn="0" w:noHBand="0" w:noVBand="0"/>
      </w:tblPr>
      <w:tblGrid>
        <w:gridCol w:w="1771"/>
        <w:gridCol w:w="1771"/>
        <w:gridCol w:w="1771"/>
        <w:gridCol w:w="1771"/>
        <w:gridCol w:w="1771"/>
      </w:tblGrid>
      <w:tr w:rsidR="00312603">
        <w:tblPrEx>
          <w:tblCellMar>
            <w:top w:w="0" w:type="dxa"/>
            <w:bottom w:w="0" w:type="dxa"/>
          </w:tblCellMar>
        </w:tblPrEx>
        <w:tc>
          <w:tcPr>
            <w:tcW w:w="1771" w:type="dxa"/>
          </w:tcPr>
          <w:p w:rsidR="00312603" w:rsidRDefault="00312603"/>
        </w:tc>
        <w:tc>
          <w:tcPr>
            <w:tcW w:w="1771" w:type="dxa"/>
          </w:tcPr>
          <w:p w:rsidR="00312603" w:rsidRDefault="001929BE">
            <w:r>
              <w:t>L</w:t>
            </w:r>
            <w:r w:rsidR="00312603">
              <w:t>ow risk</w:t>
            </w:r>
          </w:p>
        </w:tc>
        <w:tc>
          <w:tcPr>
            <w:tcW w:w="1771" w:type="dxa"/>
          </w:tcPr>
          <w:p w:rsidR="00312603" w:rsidRDefault="001929BE" w:rsidP="001929BE">
            <w:r>
              <w:t>I</w:t>
            </w:r>
            <w:r w:rsidR="00312603">
              <w:t>ntermediate risk</w:t>
            </w:r>
          </w:p>
        </w:tc>
        <w:tc>
          <w:tcPr>
            <w:tcW w:w="1771" w:type="dxa"/>
          </w:tcPr>
          <w:p w:rsidR="00312603" w:rsidRDefault="001929BE" w:rsidP="001929BE">
            <w:r>
              <w:t>H</w:t>
            </w:r>
            <w:r w:rsidR="00312603">
              <w:t>igh risk</w:t>
            </w:r>
          </w:p>
        </w:tc>
        <w:tc>
          <w:tcPr>
            <w:tcW w:w="1771" w:type="dxa"/>
          </w:tcPr>
          <w:p w:rsidR="00312603" w:rsidRDefault="00312603"/>
        </w:tc>
      </w:tr>
      <w:tr w:rsidR="00312603">
        <w:tblPrEx>
          <w:tblCellMar>
            <w:top w:w="0" w:type="dxa"/>
            <w:bottom w:w="0" w:type="dxa"/>
          </w:tblCellMar>
        </w:tblPrEx>
        <w:tc>
          <w:tcPr>
            <w:tcW w:w="1771" w:type="dxa"/>
          </w:tcPr>
          <w:p w:rsidR="00312603" w:rsidRDefault="001929BE" w:rsidP="001929BE">
            <w:r>
              <w:t>S</w:t>
            </w:r>
            <w:r w:rsidR="00312603">
              <w:t>evere multivessel disease</w:t>
            </w:r>
          </w:p>
        </w:tc>
        <w:tc>
          <w:tcPr>
            <w:tcW w:w="1771" w:type="dxa"/>
          </w:tcPr>
          <w:p w:rsidR="00312603" w:rsidRDefault="00312603">
            <w:r>
              <w:t>17%</w:t>
            </w:r>
          </w:p>
        </w:tc>
        <w:tc>
          <w:tcPr>
            <w:tcW w:w="1771" w:type="dxa"/>
          </w:tcPr>
          <w:p w:rsidR="00312603" w:rsidRDefault="00312603">
            <w:r>
              <w:t>37%</w:t>
            </w:r>
          </w:p>
        </w:tc>
        <w:tc>
          <w:tcPr>
            <w:tcW w:w="1771" w:type="dxa"/>
          </w:tcPr>
          <w:p w:rsidR="00312603" w:rsidRDefault="00312603">
            <w:r>
              <w:t>79%</w:t>
            </w:r>
          </w:p>
        </w:tc>
        <w:tc>
          <w:tcPr>
            <w:tcW w:w="1771" w:type="dxa"/>
          </w:tcPr>
          <w:p w:rsidR="00312603" w:rsidRDefault="00312603"/>
        </w:tc>
      </w:tr>
      <w:tr w:rsidR="00312603">
        <w:tblPrEx>
          <w:tblCellMar>
            <w:top w:w="0" w:type="dxa"/>
            <w:bottom w:w="0" w:type="dxa"/>
          </w:tblCellMar>
        </w:tblPrEx>
        <w:tc>
          <w:tcPr>
            <w:tcW w:w="1771" w:type="dxa"/>
          </w:tcPr>
          <w:p w:rsidR="00312603" w:rsidRDefault="001929BE" w:rsidP="001929BE">
            <w:r>
              <w:t>C</w:t>
            </w:r>
            <w:r w:rsidR="00312603">
              <w:t>ritical 3vd</w:t>
            </w:r>
          </w:p>
        </w:tc>
        <w:tc>
          <w:tcPr>
            <w:tcW w:w="1771" w:type="dxa"/>
          </w:tcPr>
          <w:p w:rsidR="00312603" w:rsidRDefault="00312603">
            <w:r>
              <w:t>5%</w:t>
            </w:r>
          </w:p>
        </w:tc>
        <w:tc>
          <w:tcPr>
            <w:tcW w:w="1771" w:type="dxa"/>
          </w:tcPr>
          <w:p w:rsidR="00312603" w:rsidRDefault="00312603">
            <w:r>
              <w:t>16%</w:t>
            </w:r>
          </w:p>
        </w:tc>
        <w:tc>
          <w:tcPr>
            <w:tcW w:w="1771" w:type="dxa"/>
          </w:tcPr>
          <w:p w:rsidR="00312603" w:rsidRDefault="00312603">
            <w:r>
              <w:t>43%</w:t>
            </w:r>
          </w:p>
        </w:tc>
        <w:tc>
          <w:tcPr>
            <w:tcW w:w="1771" w:type="dxa"/>
          </w:tcPr>
          <w:p w:rsidR="00312603" w:rsidRDefault="00312603"/>
        </w:tc>
      </w:tr>
      <w:tr w:rsidR="00312603">
        <w:tblPrEx>
          <w:tblCellMar>
            <w:top w:w="0" w:type="dxa"/>
            <w:bottom w:w="0" w:type="dxa"/>
          </w:tblCellMar>
        </w:tblPrEx>
        <w:tc>
          <w:tcPr>
            <w:tcW w:w="1771" w:type="dxa"/>
          </w:tcPr>
          <w:p w:rsidR="00312603" w:rsidRDefault="00312603">
            <w:r>
              <w:t>LMS stenosis</w:t>
            </w:r>
          </w:p>
        </w:tc>
        <w:tc>
          <w:tcPr>
            <w:tcW w:w="1771" w:type="dxa"/>
          </w:tcPr>
          <w:p w:rsidR="00312603" w:rsidRDefault="00312603">
            <w:r>
              <w:t>2%</w:t>
            </w:r>
          </w:p>
        </w:tc>
        <w:tc>
          <w:tcPr>
            <w:tcW w:w="1771" w:type="dxa"/>
          </w:tcPr>
          <w:p w:rsidR="00312603" w:rsidRDefault="00312603">
            <w:r>
              <w:t>4%</w:t>
            </w:r>
          </w:p>
        </w:tc>
        <w:tc>
          <w:tcPr>
            <w:tcW w:w="1771" w:type="dxa"/>
          </w:tcPr>
          <w:p w:rsidR="00312603" w:rsidRDefault="00312603">
            <w:r>
              <w:t>10%</w:t>
            </w:r>
          </w:p>
        </w:tc>
        <w:tc>
          <w:tcPr>
            <w:tcW w:w="1771" w:type="dxa"/>
          </w:tcPr>
          <w:p w:rsidR="00312603" w:rsidRDefault="00312603"/>
        </w:tc>
      </w:tr>
      <w:tr w:rsidR="00312603">
        <w:tblPrEx>
          <w:tblCellMar>
            <w:top w:w="0" w:type="dxa"/>
            <w:bottom w:w="0" w:type="dxa"/>
          </w:tblCellMar>
        </w:tblPrEx>
        <w:tc>
          <w:tcPr>
            <w:tcW w:w="1771" w:type="dxa"/>
          </w:tcPr>
          <w:p w:rsidR="00312603" w:rsidRDefault="00312603"/>
        </w:tc>
        <w:tc>
          <w:tcPr>
            <w:tcW w:w="1771" w:type="dxa"/>
          </w:tcPr>
          <w:p w:rsidR="00312603" w:rsidRDefault="00312603"/>
        </w:tc>
        <w:tc>
          <w:tcPr>
            <w:tcW w:w="1771" w:type="dxa"/>
          </w:tcPr>
          <w:p w:rsidR="00312603" w:rsidRDefault="00312603"/>
        </w:tc>
        <w:tc>
          <w:tcPr>
            <w:tcW w:w="1771" w:type="dxa"/>
          </w:tcPr>
          <w:p w:rsidR="00312603" w:rsidRDefault="00312603"/>
        </w:tc>
        <w:tc>
          <w:tcPr>
            <w:tcW w:w="1771" w:type="dxa"/>
          </w:tcPr>
          <w:p w:rsidR="00312603" w:rsidRDefault="00312603"/>
        </w:tc>
      </w:tr>
    </w:tbl>
    <w:p w:rsidR="00312603" w:rsidRDefault="00312603"/>
    <w:p w:rsidR="00312603" w:rsidRDefault="00312603">
      <w:r>
        <w:rPr>
          <w:i/>
        </w:rPr>
        <w:t>Multivariate predictors (RR) of severe coronary artery disease:</w:t>
      </w:r>
    </w:p>
    <w:p w:rsidR="00312603" w:rsidRDefault="00312603">
      <w:r>
        <w:t>DM</w:t>
      </w:r>
      <w:r>
        <w:tab/>
      </w:r>
      <w:r>
        <w:tab/>
      </w:r>
      <w:r>
        <w:tab/>
      </w:r>
      <w:r>
        <w:tab/>
      </w:r>
      <w:r>
        <w:tab/>
        <w:t>2.3</w:t>
      </w:r>
    </w:p>
    <w:p w:rsidR="00312603" w:rsidRDefault="00312603">
      <w:r>
        <w:t>angina</w:t>
      </w:r>
      <w:r>
        <w:tab/>
      </w:r>
      <w:r>
        <w:tab/>
      </w:r>
      <w:r>
        <w:tab/>
      </w:r>
      <w:r>
        <w:tab/>
        <w:t>4.1</w:t>
      </w:r>
    </w:p>
    <w:p w:rsidR="00312603" w:rsidRDefault="00312603">
      <w:r>
        <w:t>myocardial infarction</w:t>
      </w:r>
      <w:r>
        <w:tab/>
      </w:r>
      <w:r>
        <w:tab/>
        <w:t>2.5</w:t>
      </w:r>
    </w:p>
    <w:p w:rsidR="00312603" w:rsidRDefault="00312603">
      <w:r>
        <w:t>congestive heart failure</w:t>
      </w:r>
      <w:r>
        <w:tab/>
        <w:t>3.3</w:t>
      </w:r>
    </w:p>
    <w:p w:rsidR="00312603" w:rsidRDefault="00312603">
      <w:r>
        <w:t>The absence of the above 4 factors, PPV 96% for absence severe coronary artery disease.</w:t>
      </w:r>
    </w:p>
    <w:p w:rsidR="00312603" w:rsidRDefault="00312603"/>
    <w:p w:rsidR="00312603" w:rsidRDefault="00312603"/>
    <w:p w:rsidR="00312603" w:rsidRDefault="00312603">
      <w:r>
        <w:rPr>
          <w:i/>
        </w:rPr>
        <w:t>Multivariate predictors (RR) of critical coronary artery disease:</w:t>
      </w:r>
    </w:p>
    <w:p w:rsidR="00312603" w:rsidRDefault="00312603">
      <w:r>
        <w:t>Angina</w:t>
      </w:r>
      <w:r>
        <w:tab/>
      </w:r>
      <w:r>
        <w:tab/>
      </w:r>
      <w:r>
        <w:tab/>
      </w:r>
      <w:r>
        <w:tab/>
        <w:t>4.0</w:t>
      </w:r>
    </w:p>
    <w:p w:rsidR="00312603" w:rsidRDefault="00312603">
      <w:r>
        <w:t>myocardial infarction</w:t>
      </w:r>
      <w:r>
        <w:tab/>
      </w:r>
      <w:r>
        <w:tab/>
        <w:t>3.4</w:t>
      </w:r>
    </w:p>
    <w:p w:rsidR="00312603" w:rsidRDefault="00312603">
      <w:r>
        <w:t>congestive heart failure</w:t>
      </w:r>
      <w:r>
        <w:tab/>
        <w:t>3.3</w:t>
      </w:r>
    </w:p>
    <w:p w:rsidR="00312603" w:rsidRDefault="00312603">
      <w:r>
        <w:t>The absence of the abve three, predicts with 94% value the absence of critical coronary artery disease.</w:t>
      </w:r>
    </w:p>
    <w:p w:rsidR="00312603" w:rsidRDefault="00312603">
      <w:r>
        <w:tab/>
      </w:r>
    </w:p>
    <w:p w:rsidR="00312603" w:rsidRDefault="00312603">
      <w:r>
        <w:t>THE HIGH risk group, even if noninvasive assessment is negative may benefit from coronary angiography.</w:t>
      </w:r>
    </w:p>
    <w:p w:rsidR="00312603" w:rsidRDefault="00312603"/>
    <w:p w:rsidR="00312603" w:rsidRDefault="00312603">
      <w:r>
        <w:t>The absence of age or DM in multivariate analysis predictors of critical coronary artery disease, would seem to suggest that these two markers do not need to indicate need for angiography, but manifest ischaemic heart disease does increase the risk of critical coronary artery disease. Of course the aged were more likely to have bad disease but not significant in multivariate analysis.</w:t>
      </w:r>
    </w:p>
    <w:p w:rsidR="00312603" w:rsidRDefault="00312603"/>
    <w:tbl>
      <w:tblPr>
        <w:tblW w:w="0" w:type="auto"/>
        <w:tblLayout w:type="fixed"/>
        <w:tblLook w:val="0000" w:firstRow="0" w:lastRow="0" w:firstColumn="0" w:lastColumn="0" w:noHBand="0" w:noVBand="0"/>
      </w:tblPr>
      <w:tblGrid>
        <w:gridCol w:w="1476"/>
        <w:gridCol w:w="1476"/>
        <w:gridCol w:w="1476"/>
        <w:gridCol w:w="1476"/>
        <w:gridCol w:w="1476"/>
        <w:gridCol w:w="1476"/>
      </w:tblGrid>
      <w:tr w:rsidR="00312603">
        <w:tblPrEx>
          <w:tblCellMar>
            <w:top w:w="0" w:type="dxa"/>
            <w:bottom w:w="0" w:type="dxa"/>
          </w:tblCellMar>
        </w:tblPrEx>
        <w:tc>
          <w:tcPr>
            <w:tcW w:w="1476" w:type="dxa"/>
          </w:tcPr>
          <w:p w:rsidR="00312603" w:rsidRDefault="00312603">
            <w:pPr>
              <w:rPr>
                <w:b/>
              </w:rPr>
            </w:pPr>
          </w:p>
        </w:tc>
        <w:tc>
          <w:tcPr>
            <w:tcW w:w="1476" w:type="dxa"/>
          </w:tcPr>
          <w:p w:rsidR="00312603" w:rsidRDefault="00312603">
            <w:pPr>
              <w:rPr>
                <w:b/>
              </w:rPr>
            </w:pPr>
            <w:r>
              <w:rPr>
                <w:b/>
              </w:rPr>
              <w:t>total</w:t>
            </w:r>
          </w:p>
        </w:tc>
        <w:tc>
          <w:tcPr>
            <w:tcW w:w="1476" w:type="dxa"/>
          </w:tcPr>
          <w:p w:rsidR="00312603" w:rsidRDefault="00312603">
            <w:pPr>
              <w:rPr>
                <w:b/>
              </w:rPr>
            </w:pPr>
            <w:r>
              <w:rPr>
                <w:b/>
              </w:rPr>
              <w:t>severe</w:t>
            </w:r>
          </w:p>
        </w:tc>
        <w:tc>
          <w:tcPr>
            <w:tcW w:w="1476" w:type="dxa"/>
          </w:tcPr>
          <w:p w:rsidR="00312603" w:rsidRDefault="00312603">
            <w:pPr>
              <w:rPr>
                <w:b/>
              </w:rPr>
            </w:pPr>
            <w:r>
              <w:rPr>
                <w:b/>
              </w:rPr>
              <w:t>critical</w:t>
            </w:r>
          </w:p>
        </w:tc>
        <w:tc>
          <w:tcPr>
            <w:tcW w:w="1476" w:type="dxa"/>
          </w:tcPr>
          <w:p w:rsidR="00312603" w:rsidRDefault="00312603">
            <w:pPr>
              <w:rPr>
                <w:b/>
              </w:rPr>
            </w:pPr>
            <w:r>
              <w:rPr>
                <w:b/>
              </w:rPr>
              <w:t>left main</w:t>
            </w:r>
          </w:p>
        </w:tc>
        <w:tc>
          <w:tcPr>
            <w:tcW w:w="1476" w:type="dxa"/>
          </w:tcPr>
          <w:p w:rsidR="00312603" w:rsidRDefault="00312603">
            <w:pPr>
              <w:rPr>
                <w:b/>
              </w:rPr>
            </w:pPr>
          </w:p>
        </w:tc>
      </w:tr>
      <w:tr w:rsidR="00312603">
        <w:tblPrEx>
          <w:tblCellMar>
            <w:top w:w="0" w:type="dxa"/>
            <w:bottom w:w="0" w:type="dxa"/>
          </w:tblCellMar>
        </w:tblPrEx>
        <w:tc>
          <w:tcPr>
            <w:tcW w:w="1476" w:type="dxa"/>
          </w:tcPr>
          <w:p w:rsidR="00312603" w:rsidRDefault="00312603">
            <w:pPr>
              <w:rPr>
                <w:b/>
              </w:rPr>
            </w:pPr>
            <w:r>
              <w:rPr>
                <w:b/>
              </w:rPr>
              <w:t>Age&gt;70</w:t>
            </w:r>
          </w:p>
        </w:tc>
        <w:tc>
          <w:tcPr>
            <w:tcW w:w="1476" w:type="dxa"/>
          </w:tcPr>
          <w:p w:rsidR="00312603" w:rsidRDefault="00312603">
            <w:r>
              <w:t>30% of total</w:t>
            </w:r>
          </w:p>
        </w:tc>
        <w:tc>
          <w:tcPr>
            <w:tcW w:w="1476" w:type="dxa"/>
          </w:tcPr>
          <w:p w:rsidR="00312603" w:rsidRDefault="00312603">
            <w:r>
              <w:t>37% of all with severe</w:t>
            </w:r>
          </w:p>
        </w:tc>
        <w:tc>
          <w:tcPr>
            <w:tcW w:w="1476" w:type="dxa"/>
          </w:tcPr>
          <w:p w:rsidR="00312603" w:rsidRDefault="00312603">
            <w:r>
              <w:t>40% of all with critical</w:t>
            </w:r>
          </w:p>
        </w:tc>
        <w:tc>
          <w:tcPr>
            <w:tcW w:w="1476" w:type="dxa"/>
          </w:tcPr>
          <w:p w:rsidR="00312603" w:rsidRDefault="00312603">
            <w:r>
              <w:t>53% of all with left main disease</w:t>
            </w:r>
          </w:p>
        </w:tc>
        <w:tc>
          <w:tcPr>
            <w:tcW w:w="1476" w:type="dxa"/>
          </w:tcPr>
          <w:p w:rsidR="00312603" w:rsidRDefault="00312603"/>
        </w:tc>
      </w:tr>
      <w:tr w:rsidR="00312603">
        <w:tblPrEx>
          <w:tblCellMar>
            <w:top w:w="0" w:type="dxa"/>
            <w:bottom w:w="0" w:type="dxa"/>
          </w:tblCellMar>
        </w:tblPrEx>
        <w:tc>
          <w:tcPr>
            <w:tcW w:w="1476" w:type="dxa"/>
          </w:tcPr>
          <w:p w:rsidR="00312603" w:rsidRDefault="00312603">
            <w:pPr>
              <w:rPr>
                <w:b/>
              </w:rPr>
            </w:pPr>
            <w:r>
              <w:rPr>
                <w:b/>
              </w:rPr>
              <w:t>women</w:t>
            </w:r>
          </w:p>
        </w:tc>
        <w:tc>
          <w:tcPr>
            <w:tcW w:w="1476" w:type="dxa"/>
          </w:tcPr>
          <w:p w:rsidR="00312603" w:rsidRDefault="00312603">
            <w:r>
              <w:t>29%</w:t>
            </w:r>
          </w:p>
        </w:tc>
        <w:tc>
          <w:tcPr>
            <w:tcW w:w="1476" w:type="dxa"/>
          </w:tcPr>
          <w:p w:rsidR="00312603" w:rsidRDefault="00312603">
            <w:r>
              <w:t>23</w:t>
            </w:r>
          </w:p>
        </w:tc>
        <w:tc>
          <w:tcPr>
            <w:tcW w:w="1476" w:type="dxa"/>
          </w:tcPr>
          <w:p w:rsidR="00312603" w:rsidRDefault="00312603">
            <w:r>
              <w:t>19</w:t>
            </w:r>
          </w:p>
        </w:tc>
        <w:tc>
          <w:tcPr>
            <w:tcW w:w="1476" w:type="dxa"/>
          </w:tcPr>
          <w:p w:rsidR="00312603" w:rsidRDefault="00312603">
            <w:r>
              <w:t>20</w:t>
            </w:r>
          </w:p>
        </w:tc>
        <w:tc>
          <w:tcPr>
            <w:tcW w:w="1476" w:type="dxa"/>
          </w:tcPr>
          <w:p w:rsidR="00312603" w:rsidRDefault="00312603"/>
        </w:tc>
      </w:tr>
      <w:tr w:rsidR="00312603">
        <w:tblPrEx>
          <w:tblCellMar>
            <w:top w:w="0" w:type="dxa"/>
            <w:bottom w:w="0" w:type="dxa"/>
          </w:tblCellMar>
        </w:tblPrEx>
        <w:tc>
          <w:tcPr>
            <w:tcW w:w="1476" w:type="dxa"/>
          </w:tcPr>
          <w:p w:rsidR="00312603" w:rsidRDefault="00312603">
            <w:pPr>
              <w:rPr>
                <w:b/>
              </w:rPr>
            </w:pPr>
            <w:r>
              <w:rPr>
                <w:b/>
              </w:rPr>
              <w:t>prior angina</w:t>
            </w:r>
          </w:p>
        </w:tc>
        <w:tc>
          <w:tcPr>
            <w:tcW w:w="1476" w:type="dxa"/>
          </w:tcPr>
          <w:p w:rsidR="00312603" w:rsidRDefault="00312603">
            <w:r>
              <w:t>18%</w:t>
            </w:r>
          </w:p>
        </w:tc>
        <w:tc>
          <w:tcPr>
            <w:tcW w:w="1476" w:type="dxa"/>
          </w:tcPr>
          <w:p w:rsidR="00312603" w:rsidRDefault="00312603">
            <w:r>
              <w:t>38</w:t>
            </w:r>
          </w:p>
        </w:tc>
        <w:tc>
          <w:tcPr>
            <w:tcW w:w="1476" w:type="dxa"/>
          </w:tcPr>
          <w:p w:rsidR="00312603" w:rsidRDefault="00312603">
            <w:r>
              <w:t>48</w:t>
            </w:r>
          </w:p>
        </w:tc>
        <w:tc>
          <w:tcPr>
            <w:tcW w:w="1476" w:type="dxa"/>
          </w:tcPr>
          <w:p w:rsidR="00312603" w:rsidRDefault="00312603">
            <w:r>
              <w:t>50</w:t>
            </w:r>
          </w:p>
        </w:tc>
        <w:tc>
          <w:tcPr>
            <w:tcW w:w="1476" w:type="dxa"/>
          </w:tcPr>
          <w:p w:rsidR="00312603" w:rsidRDefault="00312603"/>
        </w:tc>
      </w:tr>
      <w:tr w:rsidR="00312603">
        <w:tblPrEx>
          <w:tblCellMar>
            <w:top w:w="0" w:type="dxa"/>
            <w:bottom w:w="0" w:type="dxa"/>
          </w:tblCellMar>
        </w:tblPrEx>
        <w:tc>
          <w:tcPr>
            <w:tcW w:w="1476" w:type="dxa"/>
          </w:tcPr>
          <w:p w:rsidR="00312603" w:rsidRDefault="00312603">
            <w:pPr>
              <w:rPr>
                <w:b/>
              </w:rPr>
            </w:pPr>
            <w:r>
              <w:rPr>
                <w:b/>
              </w:rPr>
              <w:t>prior myocardial infarction</w:t>
            </w:r>
          </w:p>
        </w:tc>
        <w:tc>
          <w:tcPr>
            <w:tcW w:w="1476" w:type="dxa"/>
          </w:tcPr>
          <w:p w:rsidR="00312603" w:rsidRDefault="00312603">
            <w:r>
              <w:t>28%</w:t>
            </w:r>
          </w:p>
        </w:tc>
        <w:tc>
          <w:tcPr>
            <w:tcW w:w="1476" w:type="dxa"/>
          </w:tcPr>
          <w:p w:rsidR="00312603" w:rsidRDefault="00312603">
            <w:r>
              <w:t>47</w:t>
            </w:r>
          </w:p>
        </w:tc>
        <w:tc>
          <w:tcPr>
            <w:tcW w:w="1476" w:type="dxa"/>
          </w:tcPr>
          <w:p w:rsidR="00312603" w:rsidRDefault="00312603">
            <w:r>
              <w:t>57</w:t>
            </w:r>
          </w:p>
        </w:tc>
        <w:tc>
          <w:tcPr>
            <w:tcW w:w="1476" w:type="dxa"/>
          </w:tcPr>
          <w:p w:rsidR="00312603" w:rsidRDefault="00312603">
            <w:r>
              <w:t>43</w:t>
            </w:r>
          </w:p>
        </w:tc>
        <w:tc>
          <w:tcPr>
            <w:tcW w:w="1476" w:type="dxa"/>
          </w:tcPr>
          <w:p w:rsidR="00312603" w:rsidRDefault="00312603"/>
        </w:tc>
      </w:tr>
      <w:tr w:rsidR="00312603">
        <w:tblPrEx>
          <w:tblCellMar>
            <w:top w:w="0" w:type="dxa"/>
            <w:bottom w:w="0" w:type="dxa"/>
          </w:tblCellMar>
        </w:tblPrEx>
        <w:tc>
          <w:tcPr>
            <w:tcW w:w="1476" w:type="dxa"/>
          </w:tcPr>
          <w:p w:rsidR="00312603" w:rsidRDefault="00312603">
            <w:pPr>
              <w:rPr>
                <w:b/>
              </w:rPr>
            </w:pPr>
            <w:r>
              <w:rPr>
                <w:b/>
              </w:rPr>
              <w:t>prior chf</w:t>
            </w:r>
          </w:p>
        </w:tc>
        <w:tc>
          <w:tcPr>
            <w:tcW w:w="1476" w:type="dxa"/>
          </w:tcPr>
          <w:p w:rsidR="00312603" w:rsidRDefault="00312603">
            <w:r>
              <w:t>4%</w:t>
            </w:r>
          </w:p>
        </w:tc>
        <w:tc>
          <w:tcPr>
            <w:tcW w:w="1476" w:type="dxa"/>
          </w:tcPr>
          <w:p w:rsidR="00312603" w:rsidRDefault="00312603">
            <w:r>
              <w:t>21</w:t>
            </w:r>
          </w:p>
        </w:tc>
        <w:tc>
          <w:tcPr>
            <w:tcW w:w="1476" w:type="dxa"/>
          </w:tcPr>
          <w:p w:rsidR="00312603" w:rsidRDefault="00312603">
            <w:r>
              <w:t>11</w:t>
            </w:r>
          </w:p>
        </w:tc>
        <w:tc>
          <w:tcPr>
            <w:tcW w:w="1476" w:type="dxa"/>
          </w:tcPr>
          <w:p w:rsidR="00312603" w:rsidRDefault="00312603">
            <w:r>
              <w:t>3</w:t>
            </w:r>
          </w:p>
        </w:tc>
        <w:tc>
          <w:tcPr>
            <w:tcW w:w="1476" w:type="dxa"/>
          </w:tcPr>
          <w:p w:rsidR="00312603" w:rsidRDefault="00312603"/>
        </w:tc>
      </w:tr>
      <w:tr w:rsidR="00312603">
        <w:tblPrEx>
          <w:tblCellMar>
            <w:top w:w="0" w:type="dxa"/>
            <w:bottom w:w="0" w:type="dxa"/>
          </w:tblCellMar>
        </w:tblPrEx>
        <w:tc>
          <w:tcPr>
            <w:tcW w:w="1476" w:type="dxa"/>
          </w:tcPr>
          <w:p w:rsidR="00312603" w:rsidRDefault="00312603">
            <w:pPr>
              <w:rPr>
                <w:b/>
              </w:rPr>
            </w:pPr>
            <w:r>
              <w:rPr>
                <w:b/>
              </w:rPr>
              <w:t>DM</w:t>
            </w:r>
          </w:p>
        </w:tc>
        <w:tc>
          <w:tcPr>
            <w:tcW w:w="1476" w:type="dxa"/>
          </w:tcPr>
          <w:p w:rsidR="00312603" w:rsidRDefault="00312603">
            <w:r>
              <w:t>15%</w:t>
            </w:r>
          </w:p>
        </w:tc>
        <w:tc>
          <w:tcPr>
            <w:tcW w:w="1476" w:type="dxa"/>
          </w:tcPr>
          <w:p w:rsidR="00312603" w:rsidRDefault="00312603">
            <w:r>
              <w:t>23</w:t>
            </w:r>
          </w:p>
        </w:tc>
        <w:tc>
          <w:tcPr>
            <w:tcW w:w="1476" w:type="dxa"/>
          </w:tcPr>
          <w:p w:rsidR="00312603" w:rsidRDefault="00312603">
            <w:r>
              <w:t>21</w:t>
            </w:r>
          </w:p>
        </w:tc>
        <w:tc>
          <w:tcPr>
            <w:tcW w:w="1476" w:type="dxa"/>
          </w:tcPr>
          <w:p w:rsidR="00312603" w:rsidRDefault="00312603">
            <w:r>
              <w:t>13</w:t>
            </w:r>
          </w:p>
        </w:tc>
        <w:tc>
          <w:tcPr>
            <w:tcW w:w="1476" w:type="dxa"/>
          </w:tcPr>
          <w:p w:rsidR="00312603" w:rsidRDefault="00312603"/>
        </w:tc>
      </w:tr>
    </w:tbl>
    <w:p w:rsidR="00312603" w:rsidRDefault="00312603"/>
    <w:p w:rsidR="00312603" w:rsidRDefault="00312603"/>
    <w:p w:rsidR="00312603" w:rsidRDefault="00312603"/>
    <w:p w:rsidR="00312603" w:rsidRDefault="00312603"/>
    <w:p w:rsidR="00312603" w:rsidRDefault="00312603">
      <w:r>
        <w:t>_____________________________________________</w:t>
      </w:r>
    </w:p>
    <w:p w:rsidR="00312603" w:rsidRDefault="00312603"/>
    <w:p w:rsidR="00312603" w:rsidRDefault="00312603"/>
    <w:p w:rsidR="00312603" w:rsidRDefault="00312603">
      <w:r>
        <w:rPr>
          <w:b/>
        </w:rPr>
        <w:t>h) Strategies to reduce operative risk: other</w:t>
      </w:r>
    </w:p>
    <w:p w:rsidR="00312603" w:rsidRDefault="00312603"/>
    <w:p w:rsidR="00312603" w:rsidRDefault="00312603">
      <w:r>
        <w:t>_____________________________________________</w:t>
      </w:r>
    </w:p>
    <w:p w:rsidR="00312603" w:rsidRDefault="00312603"/>
    <w:p w:rsidR="00312603" w:rsidRDefault="00312603">
      <w:r>
        <w:t>**Reducing cardiovascular risk in patients undergoing noncardiac surgery, editorial, NEJM 1996;335:1761-</w:t>
      </w:r>
    </w:p>
    <w:p w:rsidR="00312603" w:rsidRDefault="00312603"/>
    <w:p w:rsidR="00312603" w:rsidRDefault="00312603">
      <w:r>
        <w:t xml:space="preserve">Clinical assessment is good at identifying those at high risk, these risk factors are additive, the risk is highest among those with prior myocardial infarction, angina, congestive heart failure, or diabetis mellitus, especially those who are older or who have unstable symptoms. Eg those who have none of these rfs have a combined perioperative myocardial infarction and death of ~3%, compared to 15-20% in those with </w:t>
      </w:r>
      <w:r>
        <w:sym w:font="Symbol" w:char="F0B3"/>
      </w:r>
      <w:r>
        <w:t>3 Rfs.</w:t>
      </w:r>
    </w:p>
    <w:p w:rsidR="00312603" w:rsidRDefault="00312603"/>
    <w:p w:rsidR="00312603" w:rsidRDefault="00312603">
      <w:r>
        <w:t>The study in this journal did not prove that atenolol decreased periooperative cardiac events, because of the small sample size and low event rate. But the study did show a decrease in events over a two year period after the operations. This could just possible be due to imbalances between the two groups in some important factors.</w:t>
      </w:r>
    </w:p>
    <w:p w:rsidR="00312603" w:rsidRDefault="00312603"/>
    <w:p w:rsidR="00312603" w:rsidRDefault="00312603">
      <w:r>
        <w:t>Says do not need to use betablcokers in all but continue in those who are already on betablockers, ?use betabclokers for hypertension etc, not clear if should use betablcokers in those with Rfs for coronary artery disease but no manifest disease.</w:t>
      </w:r>
    </w:p>
    <w:p w:rsidR="00312603" w:rsidRDefault="00312603"/>
    <w:p w:rsidR="00312603" w:rsidRDefault="00312603">
      <w:r>
        <w:t>_____________________________________________</w:t>
      </w:r>
    </w:p>
    <w:p w:rsidR="00312603" w:rsidRDefault="00312603"/>
    <w:p w:rsidR="00312603" w:rsidRDefault="00312603">
      <w:r>
        <w:rPr>
          <w:b/>
        </w:rPr>
        <w:t>**</w:t>
      </w:r>
      <w:r>
        <w:t>Effect of atenolol on mortality and cardiovascular morbidity after noncardiac surgery, NEJM 1996;335:1713-20</w:t>
      </w:r>
    </w:p>
    <w:p w:rsidR="00312603" w:rsidRDefault="00312603"/>
    <w:p w:rsidR="00312603" w:rsidRDefault="00312603">
      <w:r>
        <w:t>200 patients enrolled, with manifenst ischaemic heart disease (about a third) or risk factors (age</w:t>
      </w:r>
      <w:r>
        <w:sym w:font="Symbol" w:char="F0B3"/>
      </w:r>
      <w:r>
        <w:t>65 years, hypertension, hypercholesterolaemia, smoker, and diabetes mellitus).</w:t>
      </w:r>
    </w:p>
    <w:p w:rsidR="00312603" w:rsidRDefault="00312603"/>
    <w:p w:rsidR="00312603" w:rsidRDefault="00312603">
      <w:r>
        <w:t>Placebo controlled.</w:t>
      </w:r>
    </w:p>
    <w:p w:rsidR="00312603" w:rsidRDefault="00312603"/>
    <w:p w:rsidR="00312603" w:rsidRDefault="00312603">
      <w:r>
        <w:t xml:space="preserve">If preop heart rate </w:t>
      </w:r>
      <w:r>
        <w:sym w:font="Symbol" w:char="F0B3"/>
      </w:r>
      <w:r>
        <w:t xml:space="preserve">55/minutes or SBP&gt;100mmHg, then given 10mg IV atenolol, postop atenolol given in the same way. </w:t>
      </w:r>
    </w:p>
    <w:p w:rsidR="00312603" w:rsidRDefault="00312603">
      <w:r>
        <w:t>Starting the morning afterwards, patients received IV atenolol bd or oral drug if possible.</w:t>
      </w:r>
    </w:p>
    <w:p w:rsidR="00312603" w:rsidRDefault="00312603"/>
    <w:p w:rsidR="00312603" w:rsidRDefault="00312603">
      <w:r>
        <w:t>More than 85% tolerated the intravenous administration of atenolol before and immediately afterwards, and its oral administration afterwards. More than 60% were able to receive the full daily of atenolol (10 mg intravenously or 100 mg orally). In approximately 10% there was a fall of SBP by 20% or more.</w:t>
      </w:r>
    </w:p>
    <w:p w:rsidR="00312603" w:rsidRDefault="00312603">
      <w:r>
        <w:t>Note very few patients had congestive heart failure before operation.</w:t>
      </w:r>
    </w:p>
    <w:p w:rsidR="00312603" w:rsidRDefault="00312603"/>
    <w:p w:rsidR="00312603" w:rsidRDefault="00312603">
      <w:r>
        <w:t>About 40% were major vascular operations, others were intraabdominal, orthopaedic, or neurosurgical.</w:t>
      </w:r>
    </w:p>
    <w:p w:rsidR="00312603" w:rsidRDefault="00312603"/>
    <w:p w:rsidR="00312603" w:rsidRDefault="00312603">
      <w:r>
        <w:t>Postop mortality low.</w:t>
      </w:r>
    </w:p>
    <w:p w:rsidR="00312603" w:rsidRDefault="00312603"/>
    <w:p w:rsidR="00312603" w:rsidRDefault="00312603">
      <w:r>
        <w:t>Of hospital survivors, event free survival (ie free of myocardial infarction, unstable angina, need for CABG, congestive heart failure) was: 100% in atenolol group and 88% in placebo group, at one year the rates were 92% and 78% respectively, and at 2 years , 83% and 68% respectively.</w:t>
      </w:r>
    </w:p>
    <w:p w:rsidR="00312603" w:rsidRDefault="00312603"/>
    <w:p w:rsidR="00312603" w:rsidRDefault="00312603">
      <w:r>
        <w:t>In univariate analysis, predictors of death were atenolol (hazard 0.4), diabetis (3.1), ischaemia on preop holter (2.3).</w:t>
      </w:r>
    </w:p>
    <w:p w:rsidR="00312603" w:rsidRDefault="00312603">
      <w:r>
        <w:t xml:space="preserve">In multivariate analysis only diabetis was significant (hazard 2.8) and atenolol (0.5) was just not significant (p=0.06). </w:t>
      </w:r>
    </w:p>
    <w:p w:rsidR="00312603" w:rsidRDefault="00312603">
      <w:r>
        <w:t xml:space="preserve"> </w:t>
      </w:r>
    </w:p>
    <w:p w:rsidR="00312603" w:rsidRDefault="00312603">
      <w:pPr>
        <w:rPr>
          <w:b/>
        </w:rPr>
      </w:pPr>
      <w:r>
        <w:t>_____________________________________________</w:t>
      </w:r>
    </w:p>
    <w:p w:rsidR="00312603" w:rsidRDefault="00312603">
      <w:r>
        <w:rPr>
          <w:b/>
        </w:rPr>
        <w:t>Belongs in another file</w:t>
      </w:r>
    </w:p>
    <w:p w:rsidR="00312603" w:rsidRDefault="00312603"/>
    <w:p w:rsidR="00312603" w:rsidRDefault="00312603">
      <w:r>
        <w:t>**Detection of restenosis with dobutamine stress test after coronary angioplasty, Am Heart J;1992;124:1196-</w:t>
      </w:r>
    </w:p>
    <w:p w:rsidR="00312603" w:rsidRDefault="00312603"/>
    <w:p w:rsidR="00312603" w:rsidRDefault="00312603">
      <w:r>
        <w:t>Table 1. Diagnostic accuracy of angina and dobutamine test in the detection of coronary lesions after PTCA</w:t>
      </w:r>
    </w:p>
    <w:p w:rsidR="00312603" w:rsidRDefault="00312603"/>
    <w:p w:rsidR="00312603" w:rsidRDefault="00312603">
      <w:r>
        <w:t>The test was not as useful at 15 days post- PTCA, compared to at 6 months.</w:t>
      </w:r>
    </w:p>
    <w:p w:rsidR="00312603" w:rsidRDefault="00312603">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p>
    <w:p w:rsidR="00312603" w:rsidRDefault="00312603">
      <w:r>
        <w:tab/>
      </w:r>
      <w:r>
        <w:tab/>
      </w:r>
      <w:r>
        <w:tab/>
      </w:r>
      <w:r>
        <w:tab/>
      </w:r>
      <w:r>
        <w:tab/>
      </w:r>
      <w:r>
        <w:tab/>
      </w:r>
      <w:r>
        <w:tab/>
      </w:r>
      <w:r>
        <w:tab/>
      </w:r>
      <w:r>
        <w:tab/>
      </w:r>
      <w:r>
        <w:tab/>
      </w:r>
      <w:r>
        <w:tab/>
      </w:r>
      <w:r>
        <w:tab/>
      </w:r>
      <w:r>
        <w:tab/>
      </w:r>
      <w:r>
        <w:tab/>
      </w:r>
      <w:r>
        <w:tab/>
      </w:r>
      <w:r>
        <w:tab/>
      </w:r>
      <w:r>
        <w:tab/>
        <w:t>dobutamine</w:t>
      </w:r>
    </w:p>
    <w:p w:rsidR="00312603" w:rsidRDefault="00312603">
      <w:r>
        <w:tab/>
      </w:r>
      <w:r>
        <w:tab/>
      </w:r>
      <w:r>
        <w:tab/>
      </w:r>
      <w:r>
        <w:tab/>
        <w:t xml:space="preserve">Angina  test </w:t>
      </w:r>
    </w:p>
    <w:p w:rsidR="00312603" w:rsidRDefault="00312603">
      <w:r>
        <w:t xml:space="preserve">Sensitivity (%)        58      72  </w:t>
      </w:r>
    </w:p>
    <w:p w:rsidR="00312603" w:rsidRDefault="00312603">
      <w:r>
        <w:t xml:space="preserve">Specificity (%)        89      89  </w:t>
      </w:r>
    </w:p>
    <w:p w:rsidR="00312603" w:rsidRDefault="00312603">
      <w:r>
        <w:t>Predictive value of a</w:t>
      </w:r>
    </w:p>
    <w:p w:rsidR="00312603" w:rsidRDefault="00312603">
      <w:r>
        <w:t xml:space="preserve"> positive test         91      93  </w:t>
      </w:r>
    </w:p>
    <w:p w:rsidR="00312603" w:rsidRDefault="00312603"/>
    <w:p w:rsidR="00312603" w:rsidRDefault="00312603">
      <w:r>
        <w:t xml:space="preserve">Predictive value of a  </w:t>
      </w:r>
    </w:p>
    <w:p w:rsidR="00312603" w:rsidRDefault="00312603">
      <w:r>
        <w:t xml:space="preserve"> negative test ( % )   52     61 </w:t>
      </w:r>
    </w:p>
    <w:p w:rsidR="00312603" w:rsidRDefault="00312603">
      <w:r>
        <w:t xml:space="preserve">Diagnostic accuracy    68     78 </w:t>
      </w:r>
    </w:p>
    <w:p w:rsidR="00312603" w:rsidRDefault="00312603">
      <w:r>
        <w:t xml:space="preserve">         (%)</w:t>
      </w:r>
    </w:p>
    <w:p w:rsidR="00312603" w:rsidRDefault="00312603"/>
    <w:p w:rsidR="00312603" w:rsidRDefault="00312603"/>
    <w:p w:rsidR="00312603" w:rsidRDefault="00312603"/>
    <w:p w:rsidR="00312603" w:rsidRDefault="00312603">
      <w:r>
        <w:t>Table 111. Comparison of exercise and dobutamine tests to detect coronary lesions &gt;70% in a group of 26 patients</w:t>
      </w:r>
    </w:p>
    <w:p w:rsidR="00312603" w:rsidRDefault="00312603"/>
    <w:p w:rsidR="00312603" w:rsidRDefault="00312603">
      <w:r>
        <w:tab/>
      </w:r>
      <w:r>
        <w:tab/>
        <w:t xml:space="preserve">  </w:t>
      </w:r>
      <w:r>
        <w:tab/>
      </w:r>
      <w:r>
        <w:tab/>
      </w:r>
      <w:r>
        <w:tab/>
        <w:t xml:space="preserve">   Ex test    Dobutamine </w:t>
      </w:r>
    </w:p>
    <w:p w:rsidR="00312603" w:rsidRDefault="00312603"/>
    <w:p w:rsidR="00312603" w:rsidRDefault="00312603">
      <w:r>
        <w:t>Sensitivity (%)                    61      92</w:t>
      </w:r>
    </w:p>
    <w:p w:rsidR="00312603" w:rsidRDefault="00312603">
      <w:r>
        <w:t>Specificity ( % )                  85      77</w:t>
      </w:r>
    </w:p>
    <w:p w:rsidR="00312603" w:rsidRDefault="00312603">
      <w:r>
        <w:t>Predictive value of a positive     80      80</w:t>
      </w:r>
    </w:p>
    <w:p w:rsidR="00312603" w:rsidRDefault="00312603">
      <w:r>
        <w:t xml:space="preserve"> test ( % )</w:t>
      </w:r>
    </w:p>
    <w:p w:rsidR="00312603" w:rsidRDefault="00312603">
      <w:r>
        <w:t>Predictive value of a negative     69      91</w:t>
      </w:r>
    </w:p>
    <w:p w:rsidR="00312603" w:rsidRDefault="00312603">
      <w:r>
        <w:t xml:space="preserve"> test (%)</w:t>
      </w:r>
    </w:p>
    <w:p w:rsidR="00312603" w:rsidRDefault="00312603">
      <w:r>
        <w:t>Diagnostic accuracy (%)            73      85</w:t>
      </w:r>
    </w:p>
    <w:p w:rsidR="00312603" w:rsidRDefault="00312603"/>
    <w:p w:rsidR="00312603" w:rsidRDefault="00312603">
      <w:r>
        <w:t>_____________________________________________</w:t>
      </w:r>
    </w:p>
    <w:p w:rsidR="00312603" w:rsidRDefault="00312603"/>
    <w:p w:rsidR="00312603" w:rsidRDefault="00312603">
      <w:r>
        <w:t>**Dobutamine stress echocardiography: correlation with coronary lesion severity determined by quantitative angiography, JACC 1992; 19(6):1197-202</w:t>
      </w:r>
    </w:p>
    <w:p w:rsidR="00312603" w:rsidRDefault="00312603"/>
    <w:p w:rsidR="00312603" w:rsidRDefault="00312603">
      <w:r>
        <w:t>*Retrospective analysis of 85 patients, with possible IHD and without prior CBG.</w:t>
      </w:r>
    </w:p>
    <w:p w:rsidR="00312603" w:rsidRDefault="00312603">
      <w:r>
        <w:t>*66/85 had a &gt;=50% dia loss in at least one artery.</w:t>
      </w:r>
    </w:p>
    <w:p w:rsidR="00312603" w:rsidRDefault="00312603">
      <w:r>
        <w:t>*63/66 had a positive dobutamine stress echo.</w:t>
      </w:r>
    </w:p>
    <w:p w:rsidR="00312603" w:rsidRDefault="00312603">
      <w:r>
        <w:t>*18/19 without significant lesions had a negative dobutamine stress echo.</w:t>
      </w:r>
    </w:p>
    <w:p w:rsidR="00312603" w:rsidRDefault="00312603"/>
    <w:p w:rsidR="00312603" w:rsidRDefault="00312603">
      <w:r>
        <w:t>overall sensitivity 95%</w:t>
      </w:r>
    </w:p>
    <w:p w:rsidR="00312603" w:rsidRDefault="00312603">
      <w:r>
        <w:tab/>
        <w:t xml:space="preserve">   specificity 82% </w:t>
      </w:r>
    </w:p>
    <w:p w:rsidR="00312603" w:rsidRDefault="00312603"/>
    <w:p w:rsidR="00312603" w:rsidRDefault="00312603"/>
    <w:p w:rsidR="00312603" w:rsidRDefault="00312603">
      <w:r>
        <w:t>Individual coronary lesions:</w:t>
      </w:r>
    </w:p>
    <w:p w:rsidR="00312603" w:rsidRDefault="00312603">
      <w:r>
        <w:t>LAD:  79% detected</w:t>
      </w:r>
    </w:p>
    <w:p w:rsidR="00312603" w:rsidRDefault="00312603">
      <w:r>
        <w:t>LCx:  70%</w:t>
      </w:r>
    </w:p>
    <w:p w:rsidR="00312603" w:rsidRDefault="00312603">
      <w:r>
        <w:t>RCS:  77%</w:t>
      </w:r>
    </w:p>
    <w:p w:rsidR="00312603" w:rsidRDefault="00312603"/>
    <w:p w:rsidR="00312603" w:rsidRDefault="00312603"/>
    <w:p w:rsidR="00312603" w:rsidRDefault="00312603"/>
    <w:p w:rsidR="00312603" w:rsidRDefault="00312603">
      <w:r>
        <w:t>Individual coronary lesions with minimum luminal diameter &lt;1mm:</w:t>
      </w:r>
    </w:p>
    <w:p w:rsidR="00312603" w:rsidRDefault="00312603">
      <w:r>
        <w:t>LAD:  88%</w:t>
      </w:r>
    </w:p>
    <w:p w:rsidR="00312603" w:rsidRDefault="00312603">
      <w:r>
        <w:t>LCx:  82%</w:t>
      </w:r>
    </w:p>
    <w:p w:rsidR="00312603" w:rsidRDefault="00312603">
      <w:r>
        <w:t>RCA:  86%</w:t>
      </w:r>
    </w:p>
    <w:p w:rsidR="00312603" w:rsidRDefault="00312603"/>
    <w:p w:rsidR="00312603" w:rsidRDefault="00312603">
      <w:r>
        <w:t>____________________________________________</w:t>
      </w:r>
    </w:p>
    <w:p w:rsidR="00312603" w:rsidRDefault="00312603">
      <w:r>
        <w:t>**Ischemia-induced regional wall motion abnormality is improved after coronary angioplasty: demonstration by dobutamine stress echocardiography, JACC 1993;21:584-9</w:t>
      </w:r>
    </w:p>
    <w:p w:rsidR="00312603" w:rsidRDefault="00312603"/>
    <w:p w:rsidR="00312603" w:rsidRDefault="00312603">
      <w:r>
        <w:t xml:space="preserve">35 patients studied 24hrs before and 24-48hrs after angiographically successful PTCA. Only patients with normal wall motion at rest were studied. </w:t>
      </w:r>
    </w:p>
    <w:p w:rsidR="00312603" w:rsidRDefault="00312603">
      <w:r>
        <w:t>31/35 pts had dobutamine induced wall motion abnormalities. Of these 31 wall motion score improved in 28 (90%), in most wall motion was normal post PTCA although in a few inducible wall motion abnormalities persisted.</w:t>
      </w:r>
    </w:p>
    <w:p w:rsidR="00312603" w:rsidRDefault="00312603"/>
    <w:p w:rsidR="00312603" w:rsidRDefault="00312603">
      <w:r>
        <w:t>____________________________________________</w:t>
      </w:r>
    </w:p>
    <w:sectPr w:rsidR="00312603">
      <w:pgSz w:w="12240" w:h="15840"/>
      <w:pgMar w:top="1440" w:right="1800" w:bottom="1440" w:left="180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Condensed">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NLQII 10cpi">
    <w:panose1 w:val="00000000000000000000"/>
    <w:charset w:val="00"/>
    <w:family w:val="modern"/>
    <w:notTrueType/>
    <w:pitch w:val="default"/>
    <w:sig w:usb0="00000003" w:usb1="00000000" w:usb2="00000000" w:usb3="00000000" w:csb0="00000001" w:csb1="00000000"/>
  </w:font>
  <w:font w:name="ACaslon-Regular">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D6BAFC"/>
    <w:lvl w:ilvl="0">
      <w:start w:val="1"/>
      <w:numFmt w:val="decimal"/>
      <w:lvlText w:val="%1."/>
      <w:lvlJc w:val="left"/>
      <w:pPr>
        <w:tabs>
          <w:tab w:val="num" w:pos="1492"/>
        </w:tabs>
        <w:ind w:left="1492" w:hanging="360"/>
      </w:pPr>
    </w:lvl>
  </w:abstractNum>
  <w:abstractNum w:abstractNumId="1">
    <w:nsid w:val="FFFFFF7D"/>
    <w:multiLevelType w:val="singleLevel"/>
    <w:tmpl w:val="FB48B044"/>
    <w:lvl w:ilvl="0">
      <w:start w:val="1"/>
      <w:numFmt w:val="decimal"/>
      <w:lvlText w:val="%1."/>
      <w:lvlJc w:val="left"/>
      <w:pPr>
        <w:tabs>
          <w:tab w:val="num" w:pos="1209"/>
        </w:tabs>
        <w:ind w:left="1209" w:hanging="360"/>
      </w:pPr>
    </w:lvl>
  </w:abstractNum>
  <w:abstractNum w:abstractNumId="2">
    <w:nsid w:val="FFFFFF7E"/>
    <w:multiLevelType w:val="singleLevel"/>
    <w:tmpl w:val="437C6270"/>
    <w:lvl w:ilvl="0">
      <w:start w:val="1"/>
      <w:numFmt w:val="decimal"/>
      <w:lvlText w:val="%1."/>
      <w:lvlJc w:val="left"/>
      <w:pPr>
        <w:tabs>
          <w:tab w:val="num" w:pos="926"/>
        </w:tabs>
        <w:ind w:left="926" w:hanging="360"/>
      </w:pPr>
    </w:lvl>
  </w:abstractNum>
  <w:abstractNum w:abstractNumId="3">
    <w:nsid w:val="FFFFFF7F"/>
    <w:multiLevelType w:val="singleLevel"/>
    <w:tmpl w:val="625E3922"/>
    <w:lvl w:ilvl="0">
      <w:start w:val="1"/>
      <w:numFmt w:val="decimal"/>
      <w:lvlText w:val="%1."/>
      <w:lvlJc w:val="left"/>
      <w:pPr>
        <w:tabs>
          <w:tab w:val="num" w:pos="643"/>
        </w:tabs>
        <w:ind w:left="643" w:hanging="360"/>
      </w:pPr>
    </w:lvl>
  </w:abstractNum>
  <w:abstractNum w:abstractNumId="4">
    <w:nsid w:val="FFFFFF80"/>
    <w:multiLevelType w:val="singleLevel"/>
    <w:tmpl w:val="2092DA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58E2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861E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3AC4F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A68B0A"/>
    <w:lvl w:ilvl="0">
      <w:start w:val="1"/>
      <w:numFmt w:val="decimal"/>
      <w:lvlText w:val="%1."/>
      <w:lvlJc w:val="left"/>
      <w:pPr>
        <w:tabs>
          <w:tab w:val="num" w:pos="360"/>
        </w:tabs>
        <w:ind w:left="360" w:hanging="360"/>
      </w:pPr>
    </w:lvl>
  </w:abstractNum>
  <w:abstractNum w:abstractNumId="9">
    <w:nsid w:val="FFFFFF89"/>
    <w:multiLevelType w:val="singleLevel"/>
    <w:tmpl w:val="95C6511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21A20E93"/>
    <w:multiLevelType w:val="singleLevel"/>
    <w:tmpl w:val="C60E9572"/>
    <w:lvl w:ilvl="0">
      <w:start w:val="1"/>
      <w:numFmt w:val="lowerRoman"/>
      <w:lvlText w:val="%1) "/>
      <w:legacy w:legacy="1" w:legacySpace="0" w:legacyIndent="283"/>
      <w:lvlJc w:val="left"/>
      <w:pPr>
        <w:ind w:left="283" w:hanging="283"/>
      </w:pPr>
      <w:rPr>
        <w:rFonts w:ascii="Courier" w:hAnsi="Courier" w:hint="default"/>
        <w:b/>
        <w:i w:val="0"/>
        <w:sz w:val="20"/>
        <w:u w:val="none"/>
      </w:rPr>
    </w:lvl>
  </w:abstractNum>
  <w:abstractNum w:abstractNumId="12">
    <w:nsid w:val="4DDB182B"/>
    <w:multiLevelType w:val="singleLevel"/>
    <w:tmpl w:val="9B1CF32A"/>
    <w:lvl w:ilvl="0">
      <w:start w:val="8"/>
      <w:numFmt w:val="lowerLetter"/>
      <w:lvlText w:val="%1) "/>
      <w:legacy w:legacy="1" w:legacySpace="0" w:legacyIndent="283"/>
      <w:lvlJc w:val="left"/>
      <w:pPr>
        <w:ind w:left="1003" w:hanging="283"/>
      </w:pPr>
      <w:rPr>
        <w:rFonts w:ascii="Courier" w:hAnsi="Courier" w:hint="default"/>
        <w:b/>
        <w:i w:val="0"/>
        <w:sz w:val="20"/>
        <w:u w:val="none"/>
      </w:rPr>
    </w:lvl>
  </w:abstractNum>
  <w:num w:numId="1">
    <w:abstractNumId w:val="12"/>
  </w:num>
  <w:num w:numId="2">
    <w:abstractNumId w:val="1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proofState w:grammar="clean"/>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E78"/>
    <w:rsid w:val="001929BE"/>
    <w:rsid w:val="00312603"/>
    <w:rsid w:val="004503ED"/>
    <w:rsid w:val="004B7E1A"/>
    <w:rsid w:val="00713E78"/>
    <w:rsid w:val="007E19AC"/>
    <w:rsid w:val="00AE7FA1"/>
    <w:rsid w:val="00C36F84"/>
    <w:rsid w:val="00CA6FC5"/>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autoSpaceDE w:val="0"/>
      <w:autoSpaceDN w:val="0"/>
      <w:adjustRightInd w:val="0"/>
      <w:outlineLvl w:val="3"/>
    </w:pPr>
    <w:rPr>
      <w:b/>
      <w:bCs/>
      <w:szCs w:val="42"/>
      <w:lang w:val="en-U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rPr>
      <w:rFonts w:ascii="FranklinGothic-Condensed" w:hAnsi="FranklinGothic-Condensed"/>
      <w:color w:val="003DD2"/>
      <w:sz w:val="38"/>
      <w:szCs w:val="38"/>
      <w:lang w:val="en-US"/>
    </w:rPr>
  </w:style>
  <w:style w:type="paragraph" w:styleId="BodyText2">
    <w:name w:val="Body Text 2"/>
    <w:basedOn w:val="Normal"/>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autoSpaceDE w:val="0"/>
      <w:autoSpaceDN w:val="0"/>
      <w:adjustRightInd w:val="0"/>
      <w:outlineLvl w:val="3"/>
    </w:pPr>
    <w:rPr>
      <w:b/>
      <w:bCs/>
      <w:szCs w:val="42"/>
      <w:lang w:val="en-U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rPr>
      <w:rFonts w:ascii="FranklinGothic-Condensed" w:hAnsi="FranklinGothic-Condensed"/>
      <w:color w:val="003DD2"/>
      <w:sz w:val="38"/>
      <w:szCs w:val="38"/>
      <w:lang w:val="en-US"/>
    </w:rPr>
  </w:style>
  <w:style w:type="paragraph" w:styleId="BodyText2">
    <w:name w:val="Body Text 2"/>
    <w:basedOn w:val="Normal"/>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7bFILENAME%20p%7d/../../medinfo/archive2009/IHD%20stents%20periop%20patient%20management%20ed.pdf" TargetMode="External"/><Relationship Id="rId13" Type="http://schemas.openxmlformats.org/officeDocument/2006/relationships/hyperlink" Target="%7bFILENAME%20p%7d/../../medinfo/archive2010/Noncardiac%20surgery%20risk.pdf" TargetMode="External"/><Relationship Id="rId18" Type="http://schemas.openxmlformats.org/officeDocument/2006/relationships/hyperlink" Target="%7bFILENAME%20p%7d/../../medinfo/archive2010/IHD%20noncardiac%20surgery%20PCI%20CABG.htm" TargetMode="External"/><Relationship Id="rId26" Type="http://schemas.openxmlformats.org/officeDocument/2006/relationships/hyperlink" Target="%7bFILENAME%20p%7d/../../medinfo/archive2010/IHD%20noncardiac%20surgery%20betablockers.htm" TargetMode="External"/><Relationship Id="rId3" Type="http://schemas.microsoft.com/office/2007/relationships/stylesWithEffects" Target="stylesWithEffects.xml"/><Relationship Id="rId21" Type="http://schemas.openxmlformats.org/officeDocument/2006/relationships/hyperlink" Target="%7bFILENAME%20p%7d/../../medinfo/archive/IHD%20revasc%20before%20noncardiac%20surgery%20NEJM2004ed.pdf" TargetMode="External"/><Relationship Id="rId34" Type="http://schemas.openxmlformats.org/officeDocument/2006/relationships/theme" Target="theme/theme1.xml"/><Relationship Id="rId7" Type="http://schemas.openxmlformats.org/officeDocument/2006/relationships/hyperlink" Target="%7bFILENAME%20p%7d/../../medinfo/archive2010/Pre-Operative%20Risk%20Assessment%20and%20Risk%20Reduction%20Before%20Surgery2008.pdf" TargetMode="External"/><Relationship Id="rId12" Type="http://schemas.openxmlformats.org/officeDocument/2006/relationships/hyperlink" Target="..\Medinfo\PreOp%20Assessment\Update%202002%20periop%20cardiac%20assessment2002.pdf" TargetMode="External"/><Relationship Id="rId17" Type="http://schemas.openxmlformats.org/officeDocument/2006/relationships/hyperlink" Target="%7bFILENAME%20p%7d/../../medinfo/archive2009/IHD%20stents%20periop%20patient%20management%20ed.pdf" TargetMode="External"/><Relationship Id="rId25" Type="http://schemas.openxmlformats.org/officeDocument/2006/relationships/hyperlink" Target="%7bFILENAME%20p%7d/../../medinfo/archive2010/IHD%20perioperative%20betablocker%20therapy%20AJM2009%20ed.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7bFILENAME%20p%7d/../../medinfo\IHD%20Stress%20Testing\Stress%20Echo\IHD%20stress%20echo%20noncardiac%20surgery%20risk.pdf" TargetMode="External"/><Relationship Id="rId20" Type="http://schemas.openxmlformats.org/officeDocument/2006/relationships/hyperlink" Target="%7bFILENAME%20p%7d/../../medinfo/archive/IHD%20revasc%20before%20noncardiac%20surgery%20NEJM2004.pdf" TargetMode="External"/><Relationship Id="rId29" Type="http://schemas.openxmlformats.org/officeDocument/2006/relationships/hyperlink" Target="%7bFILENAME%20p%7d/../../medinfo/archive2010/IHD%20Noncardiac%20surgery%20POISE%20betablocker.htm" TargetMode="External"/><Relationship Id="rId1" Type="http://schemas.openxmlformats.org/officeDocument/2006/relationships/numbering" Target="numbering.xml"/><Relationship Id="rId6" Type="http://schemas.openxmlformats.org/officeDocument/2006/relationships/hyperlink" Target="%7bFILENAME%20p%7d/../../medinfo/archive2010/IHD%20perioperative%20MI%20Review2009.pdf" TargetMode="External"/><Relationship Id="rId11" Type="http://schemas.openxmlformats.org/officeDocument/2006/relationships/hyperlink" Target="..\Medinfo\PreOp%20Assessment\Guidelines%20evaluation%20of%20patients%20for%20non-cardiac%20surgery.pdf" TargetMode="External"/><Relationship Id="rId24" Type="http://schemas.openxmlformats.org/officeDocument/2006/relationships/hyperlink" Target="%7bFILENAME%20p%7d/../../medinfo/archive2010/PerioperativeBetablocker%20ESC2009_files/Perioperative%20betablocker%20ESC2009.mp3" TargetMode="External"/><Relationship Id="rId32" Type="http://schemas.openxmlformats.org/officeDocument/2006/relationships/hyperlink" Target="%7bFILENAME%20p%7d/../../medinfo/archive2010/IHD%20Noncardiac%20surgery%20betablocker%20retrospective%20analysis.htm" TargetMode="External"/><Relationship Id="rId5" Type="http://schemas.openxmlformats.org/officeDocument/2006/relationships/webSettings" Target="webSettings.xml"/><Relationship Id="rId15" Type="http://schemas.openxmlformats.org/officeDocument/2006/relationships/hyperlink" Target="%7bFILENAME%20p%7d/../../medinfo/archive/IHD%20trop%20rise%20vasc%20surgery.pdf" TargetMode="External"/><Relationship Id="rId23" Type="http://schemas.openxmlformats.org/officeDocument/2006/relationships/hyperlink" Target="%7bFILENAME%20p%7d/../../medinfo/archive2010/PerioperativeBetablocker%20ESC2009_files" TargetMode="External"/><Relationship Id="rId28" Type="http://schemas.openxmlformats.org/officeDocument/2006/relationships/hyperlink" Target="%7bFILENAME%20p%7d/../../medinfo/archive2010/IHD%20perioperative%20betablockade%20letters2009%2003.pdf" TargetMode="External"/><Relationship Id="rId10" Type="http://schemas.openxmlformats.org/officeDocument/2006/relationships/hyperlink" Target="%7bFILENAME%20p%7d/../../medinfo/archive2010/Guidelines%20periop%20cardiac%20assessment2007.pdf" TargetMode="External"/><Relationship Id="rId19" Type="http://schemas.openxmlformats.org/officeDocument/2006/relationships/hyperlink" Target="%7bFILENAME%20p%7d/../../medinfo/archive2010/Periop%20Risk%20Intermediate%20risk%20betablockers.pdf" TargetMode="External"/><Relationship Id="rId31" Type="http://schemas.openxmlformats.org/officeDocument/2006/relationships/hyperlink" Target="%7bFILENAME%20p%7d/../../medinfo/archive2010/Noncardiac%20surgery%20betablockers%20Circ2006.pdf" TargetMode="External"/><Relationship Id="rId4" Type="http://schemas.openxmlformats.org/officeDocument/2006/relationships/settings" Target="settings.xml"/><Relationship Id="rId9" Type="http://schemas.openxmlformats.org/officeDocument/2006/relationships/hyperlink" Target="%7bFILENAME%20p%7d/../../medinfo/archive2010/Guidelines%20Update%202009%20periop%20betablockade.pdf" TargetMode="External"/><Relationship Id="rId14" Type="http://schemas.openxmlformats.org/officeDocument/2006/relationships/hyperlink" Target="%7bFILENAME%20p%7d/../../medinfo\IHD\IHD%20OP_risk.pdf" TargetMode="External"/><Relationship Id="rId22" Type="http://schemas.openxmlformats.org/officeDocument/2006/relationships/hyperlink" Target="%7bFILENAME%20p%7d/../../medinfo/archive2010/Noncardiac%20surgery%20after%20PCI.pdf" TargetMode="External"/><Relationship Id="rId27" Type="http://schemas.openxmlformats.org/officeDocument/2006/relationships/hyperlink" Target="%7bFILENAME%20p%7d/../../medinfo/archive2010/IHD%20perioperative%20betablockade%20letters2009%2001.pdf" TargetMode="External"/><Relationship Id="rId30" Type="http://schemas.openxmlformats.org/officeDocument/2006/relationships/hyperlink" Target="%7bFILENAME%20p%7d/../../medinfo/archive2010/IHD%20POISEd%20betablock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6205</Words>
  <Characters>35373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	Data on risk during operations</vt:lpstr>
    </vt:vector>
  </TitlesOfParts>
  <Company>WBH</Company>
  <LinksUpToDate>false</LinksUpToDate>
  <CharactersWithSpaces>41496</CharactersWithSpaces>
  <SharedDoc>false</SharedDoc>
  <HLinks>
    <vt:vector size="162" baseType="variant">
      <vt:variant>
        <vt:i4>4915227</vt:i4>
      </vt:variant>
      <vt:variant>
        <vt:i4>78</vt:i4>
      </vt:variant>
      <vt:variant>
        <vt:i4>0</vt:i4>
      </vt:variant>
      <vt:variant>
        <vt:i4>5</vt:i4>
      </vt:variant>
      <vt:variant>
        <vt:lpwstr>../medinfo/archive2010/IHD Noncardiac surgery betablocker retrospective analysis.htm</vt:lpwstr>
      </vt:variant>
      <vt:variant>
        <vt:lpwstr/>
      </vt:variant>
      <vt:variant>
        <vt:i4>6815795</vt:i4>
      </vt:variant>
      <vt:variant>
        <vt:i4>75</vt:i4>
      </vt:variant>
      <vt:variant>
        <vt:i4>0</vt:i4>
      </vt:variant>
      <vt:variant>
        <vt:i4>5</vt:i4>
      </vt:variant>
      <vt:variant>
        <vt:lpwstr>../medinfo/archive2010/Noncardiac surgery betablockers Circ2006.pdf</vt:lpwstr>
      </vt:variant>
      <vt:variant>
        <vt:lpwstr/>
      </vt:variant>
      <vt:variant>
        <vt:i4>6357100</vt:i4>
      </vt:variant>
      <vt:variant>
        <vt:i4>72</vt:i4>
      </vt:variant>
      <vt:variant>
        <vt:i4>0</vt:i4>
      </vt:variant>
      <vt:variant>
        <vt:i4>5</vt:i4>
      </vt:variant>
      <vt:variant>
        <vt:lpwstr>../medinfo/archive2010/IHD POISEd betablockers.htm</vt:lpwstr>
      </vt:variant>
      <vt:variant>
        <vt:lpwstr/>
      </vt:variant>
      <vt:variant>
        <vt:i4>2687027</vt:i4>
      </vt:variant>
      <vt:variant>
        <vt:i4>69</vt:i4>
      </vt:variant>
      <vt:variant>
        <vt:i4>0</vt:i4>
      </vt:variant>
      <vt:variant>
        <vt:i4>5</vt:i4>
      </vt:variant>
      <vt:variant>
        <vt:lpwstr>../medinfo/archive2010/IHD Noncardiac surgery POISE betablocker.htm</vt:lpwstr>
      </vt:variant>
      <vt:variant>
        <vt:lpwstr/>
      </vt:variant>
      <vt:variant>
        <vt:i4>1048594</vt:i4>
      </vt:variant>
      <vt:variant>
        <vt:i4>66</vt:i4>
      </vt:variant>
      <vt:variant>
        <vt:i4>0</vt:i4>
      </vt:variant>
      <vt:variant>
        <vt:i4>5</vt:i4>
      </vt:variant>
      <vt:variant>
        <vt:lpwstr>../medinfo/archive2010/IHD perioperative betablockade letters2009 03.pdf</vt:lpwstr>
      </vt:variant>
      <vt:variant>
        <vt:lpwstr/>
      </vt:variant>
      <vt:variant>
        <vt:i4>1179666</vt:i4>
      </vt:variant>
      <vt:variant>
        <vt:i4>63</vt:i4>
      </vt:variant>
      <vt:variant>
        <vt:i4>0</vt:i4>
      </vt:variant>
      <vt:variant>
        <vt:i4>5</vt:i4>
      </vt:variant>
      <vt:variant>
        <vt:lpwstr>../medinfo/archive2010/IHD perioperative betablockade letters2009 01.pdf</vt:lpwstr>
      </vt:variant>
      <vt:variant>
        <vt:lpwstr/>
      </vt:variant>
      <vt:variant>
        <vt:i4>3735677</vt:i4>
      </vt:variant>
      <vt:variant>
        <vt:i4>60</vt:i4>
      </vt:variant>
      <vt:variant>
        <vt:i4>0</vt:i4>
      </vt:variant>
      <vt:variant>
        <vt:i4>5</vt:i4>
      </vt:variant>
      <vt:variant>
        <vt:lpwstr>../medinfo/archive2010/IHD noncardiac surgery betablockers.htm</vt:lpwstr>
      </vt:variant>
      <vt:variant>
        <vt:lpwstr/>
      </vt:variant>
      <vt:variant>
        <vt:i4>6357048</vt:i4>
      </vt:variant>
      <vt:variant>
        <vt:i4>57</vt:i4>
      </vt:variant>
      <vt:variant>
        <vt:i4>0</vt:i4>
      </vt:variant>
      <vt:variant>
        <vt:i4>5</vt:i4>
      </vt:variant>
      <vt:variant>
        <vt:lpwstr>../medinfo/archive2010/IHD perioperative betablocker therapy AJM2009 ed.pdf</vt:lpwstr>
      </vt:variant>
      <vt:variant>
        <vt:lpwstr/>
      </vt:variant>
      <vt:variant>
        <vt:i4>4391033</vt:i4>
      </vt:variant>
      <vt:variant>
        <vt:i4>54</vt:i4>
      </vt:variant>
      <vt:variant>
        <vt:i4>0</vt:i4>
      </vt:variant>
      <vt:variant>
        <vt:i4>5</vt:i4>
      </vt:variant>
      <vt:variant>
        <vt:lpwstr>../medinfo/archive2010/PerioperativeBetablocker ESC2009_files/Perioperative betablocker ESC2009.mp3</vt:lpwstr>
      </vt:variant>
      <vt:variant>
        <vt:lpwstr/>
      </vt:variant>
      <vt:variant>
        <vt:i4>2162703</vt:i4>
      </vt:variant>
      <vt:variant>
        <vt:i4>51</vt:i4>
      </vt:variant>
      <vt:variant>
        <vt:i4>0</vt:i4>
      </vt:variant>
      <vt:variant>
        <vt:i4>5</vt:i4>
      </vt:variant>
      <vt:variant>
        <vt:lpwstr>../medinfo/archive2010/PerioperativeBetablocker ESC2009_files</vt:lpwstr>
      </vt:variant>
      <vt:variant>
        <vt:lpwstr/>
      </vt:variant>
      <vt:variant>
        <vt:i4>2490467</vt:i4>
      </vt:variant>
      <vt:variant>
        <vt:i4>48</vt:i4>
      </vt:variant>
      <vt:variant>
        <vt:i4>0</vt:i4>
      </vt:variant>
      <vt:variant>
        <vt:i4>5</vt:i4>
      </vt:variant>
      <vt:variant>
        <vt:lpwstr>../medinfo/archive2010/Noncardiac surgery after PCI.pdf</vt:lpwstr>
      </vt:variant>
      <vt:variant>
        <vt:lpwstr/>
      </vt:variant>
      <vt:variant>
        <vt:i4>6750270</vt:i4>
      </vt:variant>
      <vt:variant>
        <vt:i4>45</vt:i4>
      </vt:variant>
      <vt:variant>
        <vt:i4>0</vt:i4>
      </vt:variant>
      <vt:variant>
        <vt:i4>5</vt:i4>
      </vt:variant>
      <vt:variant>
        <vt:lpwstr>../medinfo/archive/IHD revasc before noncardiac surgery NEJM2004ed.pdf</vt:lpwstr>
      </vt:variant>
      <vt:variant>
        <vt:lpwstr/>
      </vt:variant>
      <vt:variant>
        <vt:i4>196699</vt:i4>
      </vt:variant>
      <vt:variant>
        <vt:i4>42</vt:i4>
      </vt:variant>
      <vt:variant>
        <vt:i4>0</vt:i4>
      </vt:variant>
      <vt:variant>
        <vt:i4>5</vt:i4>
      </vt:variant>
      <vt:variant>
        <vt:lpwstr>../medinfo/archive/IHD revasc before noncardiac surgery NEJM2004.pdf</vt:lpwstr>
      </vt:variant>
      <vt:variant>
        <vt:lpwstr/>
      </vt:variant>
      <vt:variant>
        <vt:i4>1703955</vt:i4>
      </vt:variant>
      <vt:variant>
        <vt:i4>39</vt:i4>
      </vt:variant>
      <vt:variant>
        <vt:i4>0</vt:i4>
      </vt:variant>
      <vt:variant>
        <vt:i4>5</vt:i4>
      </vt:variant>
      <vt:variant>
        <vt:lpwstr>../medinfo/archive2010/Periop Risk Intermediate risk betablockers.pdf</vt:lpwstr>
      </vt:variant>
      <vt:variant>
        <vt:lpwstr/>
      </vt:variant>
      <vt:variant>
        <vt:i4>6357095</vt:i4>
      </vt:variant>
      <vt:variant>
        <vt:i4>36</vt:i4>
      </vt:variant>
      <vt:variant>
        <vt:i4>0</vt:i4>
      </vt:variant>
      <vt:variant>
        <vt:i4>5</vt:i4>
      </vt:variant>
      <vt:variant>
        <vt:lpwstr>../medinfo/archive2010/IHD noncardiac surgery PCI CABG.htm</vt:lpwstr>
      </vt:variant>
      <vt:variant>
        <vt:lpwstr/>
      </vt:variant>
      <vt:variant>
        <vt:i4>3276916</vt:i4>
      </vt:variant>
      <vt:variant>
        <vt:i4>33</vt:i4>
      </vt:variant>
      <vt:variant>
        <vt:i4>0</vt:i4>
      </vt:variant>
      <vt:variant>
        <vt:i4>5</vt:i4>
      </vt:variant>
      <vt:variant>
        <vt:lpwstr>../medinfo/archive2009/IHD stents periop patient management ed.pdf</vt:lpwstr>
      </vt:variant>
      <vt:variant>
        <vt:lpwstr/>
      </vt:variant>
      <vt:variant>
        <vt:i4>4980764</vt:i4>
      </vt:variant>
      <vt:variant>
        <vt:i4>30</vt:i4>
      </vt:variant>
      <vt:variant>
        <vt:i4>0</vt:i4>
      </vt:variant>
      <vt:variant>
        <vt:i4>5</vt:i4>
      </vt:variant>
      <vt:variant>
        <vt:lpwstr>..\Medinfo\IHD Stress Testing\Stress Echo\IHD stress echo noncardiac surgery risk.pdf</vt:lpwstr>
      </vt:variant>
      <vt:variant>
        <vt:lpwstr/>
      </vt:variant>
      <vt:variant>
        <vt:i4>1900547</vt:i4>
      </vt:variant>
      <vt:variant>
        <vt:i4>27</vt:i4>
      </vt:variant>
      <vt:variant>
        <vt:i4>0</vt:i4>
      </vt:variant>
      <vt:variant>
        <vt:i4>5</vt:i4>
      </vt:variant>
      <vt:variant>
        <vt:lpwstr>../medinfo/archive/IHD trop rise vasc surgery.pdf</vt:lpwstr>
      </vt:variant>
      <vt:variant>
        <vt:lpwstr/>
      </vt:variant>
      <vt:variant>
        <vt:i4>131075</vt:i4>
      </vt:variant>
      <vt:variant>
        <vt:i4>24</vt:i4>
      </vt:variant>
      <vt:variant>
        <vt:i4>0</vt:i4>
      </vt:variant>
      <vt:variant>
        <vt:i4>5</vt:i4>
      </vt:variant>
      <vt:variant>
        <vt:lpwstr>..\Medinfo\IHD\IHD OP_risk.pdf</vt:lpwstr>
      </vt:variant>
      <vt:variant>
        <vt:lpwstr/>
      </vt:variant>
      <vt:variant>
        <vt:i4>3670054</vt:i4>
      </vt:variant>
      <vt:variant>
        <vt:i4>21</vt:i4>
      </vt:variant>
      <vt:variant>
        <vt:i4>0</vt:i4>
      </vt:variant>
      <vt:variant>
        <vt:i4>5</vt:i4>
      </vt:variant>
      <vt:variant>
        <vt:lpwstr>../medinfo/archive2010/Noncardiac surgery risk.pdf</vt:lpwstr>
      </vt:variant>
      <vt:variant>
        <vt:lpwstr/>
      </vt:variant>
      <vt:variant>
        <vt:i4>6684741</vt:i4>
      </vt:variant>
      <vt:variant>
        <vt:i4>18</vt:i4>
      </vt:variant>
      <vt:variant>
        <vt:i4>0</vt:i4>
      </vt:variant>
      <vt:variant>
        <vt:i4>5</vt:i4>
      </vt:variant>
      <vt:variant>
        <vt:lpwstr>..\Medinfo\PreOp Assessment\Update 2002 periop cardiac assessment2002.pdf</vt:lpwstr>
      </vt:variant>
      <vt:variant>
        <vt:lpwstr/>
      </vt:variant>
      <vt:variant>
        <vt:i4>6750222</vt:i4>
      </vt:variant>
      <vt:variant>
        <vt:i4>15</vt:i4>
      </vt:variant>
      <vt:variant>
        <vt:i4>0</vt:i4>
      </vt:variant>
      <vt:variant>
        <vt:i4>5</vt:i4>
      </vt:variant>
      <vt:variant>
        <vt:lpwstr>..\Medinfo\PreOp Assessment\Guidelines evaluation of patients for non-cardiac surgery.pdf</vt:lpwstr>
      </vt:variant>
      <vt:variant>
        <vt:lpwstr/>
      </vt:variant>
      <vt:variant>
        <vt:i4>2228334</vt:i4>
      </vt:variant>
      <vt:variant>
        <vt:i4>12</vt:i4>
      </vt:variant>
      <vt:variant>
        <vt:i4>0</vt:i4>
      </vt:variant>
      <vt:variant>
        <vt:i4>5</vt:i4>
      </vt:variant>
      <vt:variant>
        <vt:lpwstr>../medinfo/archive2010/Guidelines periop cardiac assessment2007.pdf</vt:lpwstr>
      </vt:variant>
      <vt:variant>
        <vt:lpwstr/>
      </vt:variant>
      <vt:variant>
        <vt:i4>1769498</vt:i4>
      </vt:variant>
      <vt:variant>
        <vt:i4>9</vt:i4>
      </vt:variant>
      <vt:variant>
        <vt:i4>0</vt:i4>
      </vt:variant>
      <vt:variant>
        <vt:i4>5</vt:i4>
      </vt:variant>
      <vt:variant>
        <vt:lpwstr>../medinfo/archive2010/Guidelines Update 2009 periop betablockade.pdf</vt:lpwstr>
      </vt:variant>
      <vt:variant>
        <vt:lpwstr/>
      </vt:variant>
      <vt:variant>
        <vt:i4>3276916</vt:i4>
      </vt:variant>
      <vt:variant>
        <vt:i4>6</vt:i4>
      </vt:variant>
      <vt:variant>
        <vt:i4>0</vt:i4>
      </vt:variant>
      <vt:variant>
        <vt:i4>5</vt:i4>
      </vt:variant>
      <vt:variant>
        <vt:lpwstr>../medinfo/archive2009/IHD stents periop patient management ed.pdf</vt:lpwstr>
      </vt:variant>
      <vt:variant>
        <vt:lpwstr/>
      </vt:variant>
      <vt:variant>
        <vt:i4>7078011</vt:i4>
      </vt:variant>
      <vt:variant>
        <vt:i4>3</vt:i4>
      </vt:variant>
      <vt:variant>
        <vt:i4>0</vt:i4>
      </vt:variant>
      <vt:variant>
        <vt:i4>5</vt:i4>
      </vt:variant>
      <vt:variant>
        <vt:lpwstr>../medinfo/archive2010/Pre-Operative Risk Assessment and Risk Reduction Before Surgery2008.pdf</vt:lpwstr>
      </vt:variant>
      <vt:variant>
        <vt:lpwstr/>
      </vt:variant>
      <vt:variant>
        <vt:i4>6881312</vt:i4>
      </vt:variant>
      <vt:variant>
        <vt:i4>0</vt:i4>
      </vt:variant>
      <vt:variant>
        <vt:i4>0</vt:i4>
      </vt:variant>
      <vt:variant>
        <vt:i4>5</vt:i4>
      </vt:variant>
      <vt:variant>
        <vt:lpwstr>../medinfo/archive2010/IHD perioperative MI Review2009.pdf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Data on risk during operations</dc:title>
  <dc:creator>Western Bay Health</dc:creator>
  <cp:lastModifiedBy>HITESH PATEL</cp:lastModifiedBy>
  <cp:revision>2</cp:revision>
  <cp:lastPrinted>1601-01-01T00:00:00Z</cp:lastPrinted>
  <dcterms:created xsi:type="dcterms:W3CDTF">2018-09-13T01:32:00Z</dcterms:created>
  <dcterms:modified xsi:type="dcterms:W3CDTF">2018-09-13T01:32:00Z</dcterms:modified>
</cp:coreProperties>
</file>